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 57.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526">
        <w:rPr>
          <w:rFonts w:ascii="Times New Roman" w:hAnsi="Times New Roman" w:cs="Times New Roman"/>
        </w:rPr>
        <w:t xml:space="preserve">Статута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</w:t>
      </w:r>
      <w:proofErr w:type="gramStart"/>
      <w:r>
        <w:rPr>
          <w:rFonts w:ascii="Times New Roman" w:hAnsi="Times New Roman" w:cs="Times New Roman"/>
        </w:rPr>
        <w:t>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E070BF">
        <w:rPr>
          <w:rFonts w:ascii="Times New Roman" w:hAnsi="Times New Roman" w:cs="Times New Roman"/>
        </w:rPr>
        <w:t>oсам</w:t>
      </w:r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C52F41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ОДЛУКЕ О БУЏЕТУ ОПШТИНЕ ГАЏИН ХАН ЗА 2017.ГОД.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Default="00B823CE" w:rsidP="00C52F41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114FAA" w:rsidRPr="00114FAA">
        <w:t xml:space="preserve"> </w:t>
      </w:r>
      <w:r w:rsidR="00114FAA">
        <w:t>Локалног</w:t>
      </w:r>
      <w:r w:rsidR="00114FAA" w:rsidRPr="0085696B">
        <w:rPr>
          <w:lang w:val="sr-Cyrl-CS"/>
        </w:rPr>
        <w:t xml:space="preserve"> акционог плана запошљавања за 2017.годину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 xml:space="preserve">те ист </w:t>
      </w:r>
    </w:p>
    <w:p w:rsidR="00C52F41" w:rsidRPr="00C52F41" w:rsidRDefault="00C52F41" w:rsidP="00C52F41">
      <w:pPr>
        <w:jc w:val="both"/>
        <w:rPr>
          <w:rFonts w:ascii="Times New Roman" w:hAnsi="Times New Roman" w:cs="Times New Roman"/>
          <w:lang w:val="sr-Cyrl-CS"/>
        </w:rPr>
      </w:pPr>
      <w:r w:rsidRPr="00C52F41">
        <w:rPr>
          <w:rFonts w:ascii="Times New Roman" w:hAnsi="Times New Roman" w:cs="Times New Roman"/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број</w:t>
      </w:r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06-400-573/16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Гаџином Хану,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D55EFE" w:rsidRDefault="00D5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5EFE" w:rsidRDefault="00D55EFE" w:rsidP="00D55EFE">
      <w:pPr>
        <w:pStyle w:val="Title"/>
        <w:rPr>
          <w:b/>
          <w:sz w:val="36"/>
          <w:szCs w:val="36"/>
        </w:rPr>
      </w:pPr>
    </w:p>
    <w:p w:rsidR="00D55EFE" w:rsidRPr="00844C95" w:rsidRDefault="00D55EFE" w:rsidP="00D55EFE">
      <w:pPr>
        <w:pStyle w:val="Title"/>
        <w:rPr>
          <w:b/>
          <w:sz w:val="36"/>
          <w:szCs w:val="36"/>
        </w:rPr>
      </w:pPr>
    </w:p>
    <w:p w:rsidR="00D55EFE" w:rsidRPr="00844C95" w:rsidRDefault="00D55EFE" w:rsidP="00D55EFE">
      <w:pPr>
        <w:pStyle w:val="Title"/>
        <w:rPr>
          <w:b/>
          <w:sz w:val="36"/>
          <w:szCs w:val="36"/>
        </w:rPr>
      </w:pPr>
    </w:p>
    <w:p w:rsidR="00D55EFE" w:rsidRPr="00844C95" w:rsidRDefault="00D55EFE" w:rsidP="00D55EFE">
      <w:pPr>
        <w:pStyle w:val="Title"/>
        <w:rPr>
          <w:b/>
          <w:sz w:val="36"/>
          <w:szCs w:val="36"/>
        </w:rPr>
      </w:pPr>
      <w:r w:rsidRPr="00844C95">
        <w:rPr>
          <w:b/>
          <w:sz w:val="36"/>
          <w:szCs w:val="36"/>
        </w:rPr>
        <w:t>Локалн</w:t>
      </w:r>
      <w:r w:rsidRPr="00844C95">
        <w:rPr>
          <w:b/>
          <w:sz w:val="36"/>
          <w:szCs w:val="36"/>
          <w:lang w:val="sr-Cyrl-CS"/>
        </w:rPr>
        <w:t>и</w:t>
      </w:r>
      <w:r w:rsidRPr="00844C95">
        <w:rPr>
          <w:b/>
          <w:sz w:val="36"/>
          <w:szCs w:val="36"/>
        </w:rPr>
        <w:t xml:space="preserve"> акцион</w:t>
      </w:r>
      <w:r w:rsidRPr="00844C95">
        <w:rPr>
          <w:b/>
          <w:sz w:val="36"/>
          <w:szCs w:val="36"/>
          <w:lang w:val="sr-Cyrl-CS"/>
        </w:rPr>
        <w:t>и</w:t>
      </w:r>
      <w:r w:rsidRPr="00844C95">
        <w:rPr>
          <w:b/>
          <w:sz w:val="36"/>
          <w:szCs w:val="36"/>
        </w:rPr>
        <w:t xml:space="preserve"> план запошљавања </w:t>
      </w:r>
    </w:p>
    <w:p w:rsidR="00D55EFE" w:rsidRPr="00844C95" w:rsidRDefault="00D55EFE" w:rsidP="00D55EFE">
      <w:pPr>
        <w:pStyle w:val="Subtitle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општине </w:t>
      </w:r>
      <w:r w:rsidRPr="00844C9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Гаџин Хан </w:t>
      </w: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>за 201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7</w:t>
      </w: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>.годину</w:t>
      </w:r>
    </w:p>
    <w:p w:rsidR="00D55EFE" w:rsidRPr="00844C95" w:rsidRDefault="00D55EFE" w:rsidP="00D55EFE">
      <w:pPr>
        <w:rPr>
          <w:rFonts w:ascii="Times New Roman" w:hAnsi="Times New Roman" w:cs="Times New Roman"/>
        </w:rPr>
      </w:pPr>
    </w:p>
    <w:p w:rsidR="00D55EFE" w:rsidRPr="00844C95" w:rsidRDefault="00D55EFE" w:rsidP="00D55EFE">
      <w:pPr>
        <w:rPr>
          <w:rFonts w:ascii="Times New Roman" w:hAnsi="Times New Roman" w:cs="Times New Roman"/>
        </w:rPr>
      </w:pPr>
    </w:p>
    <w:p w:rsidR="00D55EFE" w:rsidRPr="00844C95" w:rsidRDefault="00D55EFE" w:rsidP="00D55EFE">
      <w:pPr>
        <w:rPr>
          <w:rFonts w:ascii="Times New Roman" w:hAnsi="Times New Roman" w:cs="Times New Roman"/>
        </w:rPr>
      </w:pPr>
    </w:p>
    <w:p w:rsidR="00D55EFE" w:rsidRPr="00844C95" w:rsidRDefault="00D55EFE" w:rsidP="00D55EFE">
      <w:pPr>
        <w:rPr>
          <w:rFonts w:ascii="Times New Roman" w:hAnsi="Times New Roman" w:cs="Times New Roman"/>
        </w:rPr>
      </w:pPr>
    </w:p>
    <w:p w:rsidR="00D55EFE" w:rsidRPr="00844C95" w:rsidRDefault="00D55EFE" w:rsidP="00D55EFE">
      <w:pPr>
        <w:jc w:val="center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  <w:noProof/>
        </w:rPr>
        <w:drawing>
          <wp:inline distT="0" distB="0" distL="0" distR="0">
            <wp:extent cx="3220978" cy="3114675"/>
            <wp:effectExtent l="19050" t="0" r="0" b="0"/>
            <wp:docPr id="3" name="Picture 2" descr="C:\Users\PC\Desktop\usaid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said\G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78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FE" w:rsidRPr="00844C95" w:rsidRDefault="00D55EFE" w:rsidP="00D55EFE">
      <w:pPr>
        <w:rPr>
          <w:rFonts w:ascii="Times New Roman" w:hAnsi="Times New Roman" w:cs="Times New Roman"/>
        </w:rPr>
      </w:pPr>
    </w:p>
    <w:p w:rsidR="00D55EFE" w:rsidRPr="00844C95" w:rsidRDefault="00D55EFE" w:rsidP="00D55EFE">
      <w:pPr>
        <w:rPr>
          <w:rFonts w:ascii="Times New Roman" w:hAnsi="Times New Roman" w:cs="Times New Roman"/>
        </w:rPr>
      </w:pPr>
    </w:p>
    <w:p w:rsidR="00D55EFE" w:rsidRPr="00844C95" w:rsidRDefault="00D55EFE" w:rsidP="00D55EFE">
      <w:pPr>
        <w:rPr>
          <w:rFonts w:ascii="Times New Roman" w:hAnsi="Times New Roman" w:cs="Times New Roman"/>
        </w:rPr>
      </w:pPr>
    </w:p>
    <w:p w:rsidR="00D55EFE" w:rsidRPr="00844C95" w:rsidRDefault="00D55EFE" w:rsidP="00D55EFE">
      <w:pPr>
        <w:rPr>
          <w:rFonts w:ascii="Times New Roman" w:hAnsi="Times New Roman" w:cs="Times New Roman"/>
        </w:rPr>
      </w:pPr>
    </w:p>
    <w:p w:rsidR="00D55EFE" w:rsidRPr="00844C95" w:rsidRDefault="00D55EFE" w:rsidP="00D55EFE">
      <w:pPr>
        <w:jc w:val="center"/>
        <w:rPr>
          <w:rFonts w:ascii="Times New Roman" w:hAnsi="Times New Roman" w:cs="Times New Roman"/>
        </w:rPr>
      </w:pPr>
    </w:p>
    <w:p w:rsidR="00D55EFE" w:rsidRPr="00844C95" w:rsidRDefault="00D55EFE" w:rsidP="00D55EFE">
      <w:pPr>
        <w:jc w:val="center"/>
        <w:rPr>
          <w:rFonts w:ascii="Times New Roman" w:hAnsi="Times New Roman" w:cs="Times New Roman"/>
        </w:rPr>
      </w:pPr>
    </w:p>
    <w:p w:rsidR="00D55EFE" w:rsidRPr="00844C95" w:rsidRDefault="00D55EFE" w:rsidP="00D55EFE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Децембар 201</w:t>
      </w:r>
      <w:r>
        <w:rPr>
          <w:rFonts w:ascii="Times New Roman" w:hAnsi="Times New Roman" w:cs="Times New Roman"/>
        </w:rPr>
        <w:t>6</w:t>
      </w:r>
      <w:r w:rsidRPr="00844C95">
        <w:rPr>
          <w:rFonts w:ascii="Times New Roman" w:hAnsi="Times New Roman" w:cs="Times New Roman"/>
          <w:lang w:val="sr-Cyrl-CS"/>
        </w:rPr>
        <w:t>.године</w:t>
      </w:r>
    </w:p>
    <w:p w:rsidR="00D55EFE" w:rsidRPr="00844C95" w:rsidRDefault="00D55EFE" w:rsidP="00D55EFE">
      <w:pPr>
        <w:jc w:val="center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lastRenderedPageBreak/>
        <w:t>САДРЖАЈ</w:t>
      </w:r>
    </w:p>
    <w:p w:rsidR="00D55EFE" w:rsidRPr="00844C95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ListParagraph"/>
        <w:numPr>
          <w:ilvl w:val="0"/>
          <w:numId w:val="2"/>
        </w:numPr>
        <w:tabs>
          <w:tab w:val="clear" w:pos="0"/>
        </w:tabs>
        <w:autoSpaceDE/>
        <w:autoSpaceDN/>
        <w:adjustRightInd/>
        <w:spacing w:after="200" w:line="276" w:lineRule="auto"/>
        <w:rPr>
          <w:b/>
          <w:lang w:val="sr-Cyrl-CS"/>
        </w:rPr>
      </w:pPr>
      <w:r w:rsidRPr="00844C95">
        <w:rPr>
          <w:b/>
          <w:lang w:val="sr-Cyrl-CS"/>
        </w:rPr>
        <w:t>УВОД</w:t>
      </w:r>
    </w:p>
    <w:p w:rsidR="00D55EFE" w:rsidRPr="00844C95" w:rsidRDefault="00D55EFE" w:rsidP="00D55EFE">
      <w:pPr>
        <w:pStyle w:val="ListParagraph"/>
        <w:rPr>
          <w:b/>
          <w:lang w:val="sr-Cyrl-CS"/>
        </w:rPr>
      </w:pPr>
    </w:p>
    <w:p w:rsidR="00D55EFE" w:rsidRPr="00844C95" w:rsidRDefault="00D55EFE" w:rsidP="00D55EFE">
      <w:pPr>
        <w:pStyle w:val="ListParagraph"/>
        <w:numPr>
          <w:ilvl w:val="0"/>
          <w:numId w:val="2"/>
        </w:numPr>
        <w:tabs>
          <w:tab w:val="clear" w:pos="0"/>
        </w:tabs>
        <w:autoSpaceDE/>
        <w:autoSpaceDN/>
        <w:adjustRightInd/>
        <w:spacing w:after="200" w:line="276" w:lineRule="auto"/>
        <w:rPr>
          <w:b/>
          <w:lang w:val="sr-Cyrl-CS"/>
        </w:rPr>
      </w:pPr>
      <w:r w:rsidRPr="00844C95">
        <w:rPr>
          <w:b/>
          <w:lang w:val="sr-Cyrl-CS"/>
        </w:rPr>
        <w:t>ПРОФИЛ ОПШТИНЕ ГАЏИН ХАН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line="276" w:lineRule="auto"/>
        <w:rPr>
          <w:sz w:val="24"/>
          <w:szCs w:val="24"/>
          <w:lang w:val="sr-Cyrl-BA"/>
        </w:rPr>
      </w:pPr>
      <w:r w:rsidRPr="00844C95">
        <w:rPr>
          <w:sz w:val="24"/>
          <w:szCs w:val="24"/>
          <w:lang w:val="sr-Cyrl-BA"/>
        </w:rPr>
        <w:t>Административни и географски положај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line="276" w:lineRule="auto"/>
        <w:rPr>
          <w:sz w:val="24"/>
          <w:szCs w:val="24"/>
          <w:lang w:val="sr-Cyrl-BA"/>
        </w:rPr>
      </w:pPr>
      <w:r w:rsidRPr="00844C95">
        <w:rPr>
          <w:sz w:val="24"/>
          <w:szCs w:val="24"/>
          <w:lang w:val="sr-Cyrl-BA"/>
        </w:rPr>
        <w:t>Геостратешки положај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line="276" w:lineRule="auto"/>
        <w:rPr>
          <w:sz w:val="24"/>
          <w:szCs w:val="24"/>
          <w:lang w:val="sr-Cyrl-BA"/>
        </w:rPr>
      </w:pPr>
      <w:r w:rsidRPr="00844C95">
        <w:rPr>
          <w:sz w:val="24"/>
          <w:szCs w:val="24"/>
          <w:lang w:val="sr-Cyrl-BA"/>
        </w:rPr>
        <w:t>Историјски подаци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Становништво, образовање и квалитет живота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Локална самоуправа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Интернет презентација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Економски развој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Пољопривреда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Туризам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Заштита животне средине</w:t>
      </w:r>
    </w:p>
    <w:p w:rsidR="00D55EFE" w:rsidRPr="00844C95" w:rsidRDefault="00D55EFE" w:rsidP="00D55EFE">
      <w:pPr>
        <w:pStyle w:val="ListParagraph"/>
        <w:numPr>
          <w:ilvl w:val="0"/>
          <w:numId w:val="4"/>
        </w:numPr>
        <w:tabs>
          <w:tab w:val="clear" w:pos="0"/>
        </w:tabs>
        <w:autoSpaceDE/>
        <w:autoSpaceDN/>
        <w:adjustRightInd/>
        <w:spacing w:after="200" w:line="276" w:lineRule="auto"/>
        <w:rPr>
          <w:b/>
          <w:lang w:val="sr-Cyrl-CS"/>
        </w:rPr>
      </w:pPr>
      <w:r w:rsidRPr="00844C95">
        <w:rPr>
          <w:b/>
          <w:lang w:val="sr-Cyrl-CS"/>
        </w:rPr>
        <w:t>СТАЊЕ НА ТРЖИШТУ РАДА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t>Сива економија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t>Правни и институционални оквир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Latn-CS"/>
        </w:rPr>
        <w:t xml:space="preserve">SWOT </w:t>
      </w:r>
      <w:r w:rsidRPr="00844C95">
        <w:rPr>
          <w:lang w:val="sr-Cyrl-CS"/>
        </w:rPr>
        <w:t>анализа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Мере активне политике запошљавања које спроводи НСЗ</w:t>
      </w:r>
    </w:p>
    <w:p w:rsidR="00D55EFE" w:rsidRPr="00844C95" w:rsidRDefault="00D55EFE" w:rsidP="00D55EFE">
      <w:pPr>
        <w:pStyle w:val="ListParagraph"/>
        <w:numPr>
          <w:ilvl w:val="0"/>
          <w:numId w:val="4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b/>
          <w:lang w:val="sr-Cyrl-CS"/>
        </w:rPr>
        <w:t>ЦИЉЕВИ И ПРИОРИТЕТИ ПОЛИТИКЕ ЗАПОШЉАВАЊА</w:t>
      </w:r>
    </w:p>
    <w:p w:rsidR="00D55EFE" w:rsidRPr="00844C95" w:rsidRDefault="00D55EFE" w:rsidP="00D55EFE">
      <w:pPr>
        <w:pStyle w:val="ListParagraph"/>
        <w:numPr>
          <w:ilvl w:val="0"/>
          <w:numId w:val="4"/>
        </w:numPr>
        <w:tabs>
          <w:tab w:val="clear" w:pos="0"/>
        </w:tabs>
        <w:autoSpaceDE/>
        <w:autoSpaceDN/>
        <w:adjustRightInd/>
        <w:spacing w:line="276" w:lineRule="auto"/>
        <w:ind w:right="-360"/>
        <w:rPr>
          <w:b/>
          <w:lang w:val="sr-Cyrl-CS"/>
        </w:rPr>
      </w:pPr>
      <w:r w:rsidRPr="00844C95">
        <w:rPr>
          <w:b/>
          <w:lang w:val="sr-Cyrl-CS"/>
        </w:rPr>
        <w:t>ПРОГРАМИ И МЕРЕ АКТИВНЕ ПОЛИТИКЕ ЗАПОШЉАВАЊА</w:t>
      </w:r>
      <w:r w:rsidRPr="00844C95">
        <w:rPr>
          <w:b/>
        </w:rPr>
        <w:t xml:space="preserve"> </w:t>
      </w:r>
      <w:r w:rsidRPr="00844C95">
        <w:rPr>
          <w:b/>
          <w:lang w:val="sr-Cyrl-CS"/>
        </w:rPr>
        <w:t>НА</w:t>
      </w:r>
    </w:p>
    <w:p w:rsidR="00D55EFE" w:rsidRPr="00844C95" w:rsidRDefault="00D55EFE" w:rsidP="00D55EFE">
      <w:pPr>
        <w:spacing w:after="0"/>
        <w:ind w:right="-360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 xml:space="preserve">               ТЕРИТОРИЈИ  ОПШТИНЕ ГАЏИН ХАН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line="276" w:lineRule="auto"/>
        <w:rPr>
          <w:lang w:val="sr-Cyrl-CS"/>
        </w:rPr>
      </w:pPr>
      <w:r>
        <w:rPr>
          <w:lang w:val="sr-Cyrl-CS"/>
        </w:rPr>
        <w:t>Јавни радови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t>Стручна пракса</w:t>
      </w:r>
    </w:p>
    <w:p w:rsidR="00D55EFE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t>Субвенције за самозапошљавање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t>Субвенције за запошљавање незапослених лица из категорије теже запошљивих</w:t>
      </w:r>
    </w:p>
    <w:p w:rsidR="00D55EFE" w:rsidRPr="00844C95" w:rsidRDefault="00D55EFE" w:rsidP="00D55EFE">
      <w:pPr>
        <w:pStyle w:val="ListParagraph"/>
        <w:numPr>
          <w:ilvl w:val="0"/>
          <w:numId w:val="10"/>
        </w:numPr>
        <w:tabs>
          <w:tab w:val="clear" w:pos="0"/>
        </w:tabs>
        <w:autoSpaceDE/>
        <w:autoSpaceDN/>
        <w:adjustRightInd/>
        <w:spacing w:after="200" w:line="276" w:lineRule="auto"/>
        <w:rPr>
          <w:b/>
          <w:iCs/>
          <w:sz w:val="24"/>
          <w:szCs w:val="24"/>
          <w:shd w:val="clear" w:color="auto" w:fill="FFFFFF"/>
          <w:lang w:val="sr-Cyrl-CS"/>
        </w:rPr>
      </w:pPr>
      <w:r w:rsidRPr="00844C95">
        <w:rPr>
          <w:b/>
          <w:iCs/>
          <w:sz w:val="24"/>
          <w:szCs w:val="24"/>
          <w:shd w:val="clear" w:color="auto" w:fill="FFFFFF"/>
          <w:lang w:val="sr-Cyrl-CS"/>
        </w:rPr>
        <w:t>СРЕДСТВА</w:t>
      </w:r>
    </w:p>
    <w:p w:rsidR="00D55EFE" w:rsidRPr="00844C95" w:rsidRDefault="00D55EFE" w:rsidP="00D55EFE">
      <w:pPr>
        <w:pStyle w:val="Heading1"/>
        <w:ind w:left="432" w:firstLine="0"/>
        <w:rPr>
          <w:sz w:val="36"/>
          <w:szCs w:val="36"/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val="sr-Cyrl-CS" w:eastAsia="ar-SA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val="sr-Cyrl-CS" w:eastAsia="ar-SA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val="sr-Cyrl-CS" w:eastAsia="ar-SA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val="sr-Cyrl-CS" w:eastAsia="ar-SA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eastAsia="ar-SA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eastAsia="ar-SA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val="sr-Cyrl-CS" w:eastAsia="ar-SA"/>
        </w:rPr>
      </w:pPr>
    </w:p>
    <w:p w:rsidR="00D55EFE" w:rsidRPr="00844C95" w:rsidRDefault="00D55EFE" w:rsidP="00D55EFE">
      <w:pPr>
        <w:pStyle w:val="Heading1"/>
        <w:numPr>
          <w:ilvl w:val="0"/>
          <w:numId w:val="5"/>
        </w:numPr>
        <w:rPr>
          <w:sz w:val="36"/>
          <w:szCs w:val="36"/>
          <w:lang w:val="sr-Cyrl-CS"/>
        </w:rPr>
      </w:pPr>
      <w:r w:rsidRPr="00844C95">
        <w:rPr>
          <w:sz w:val="36"/>
          <w:szCs w:val="36"/>
        </w:rPr>
        <w:lastRenderedPageBreak/>
        <w:t>Увод</w:t>
      </w:r>
    </w:p>
    <w:p w:rsidR="00D55EFE" w:rsidRPr="00844C95" w:rsidRDefault="00D55EFE" w:rsidP="00D55EFE">
      <w:pPr>
        <w:pStyle w:val="BodyTextFirstIndent"/>
        <w:rPr>
          <w:rFonts w:eastAsiaTheme="minorHAnsi"/>
          <w:sz w:val="22"/>
          <w:szCs w:val="22"/>
          <w:lang w:val="sr-Cyrl-CS" w:eastAsia="en-US"/>
        </w:rPr>
      </w:pPr>
    </w:p>
    <w:p w:rsidR="00D55EFE" w:rsidRPr="00844C95" w:rsidRDefault="00D55EFE" w:rsidP="00D55EFE">
      <w:pPr>
        <w:pStyle w:val="BodyTextFirstIndent"/>
        <w:rPr>
          <w:lang w:val="sr-Latn-CS"/>
        </w:rPr>
      </w:pPr>
      <w:r w:rsidRPr="00844C95">
        <w:rPr>
          <w:lang w:val="sr-Latn-CS"/>
        </w:rPr>
        <w:t>Израда Локалног акционог плана запошљавања за 201</w:t>
      </w:r>
      <w:r>
        <w:rPr>
          <w:lang w:val="sr-Cyrl-CS"/>
        </w:rPr>
        <w:t>7</w:t>
      </w:r>
      <w:r w:rsidRPr="00844C95">
        <w:rPr>
          <w:lang w:val="sr-Latn-CS"/>
        </w:rPr>
        <w:t xml:space="preserve">. годину представља систематски приступ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у решавању проблема незапослености.</w:t>
      </w:r>
    </w:p>
    <w:p w:rsidR="00D55EFE" w:rsidRDefault="00D55EFE" w:rsidP="00D55EFE">
      <w:pPr>
        <w:pStyle w:val="BodyTextFirstIndent"/>
        <w:rPr>
          <w:lang w:val="sr-Latn-CS"/>
        </w:rPr>
      </w:pPr>
      <w:r w:rsidRPr="00844C95">
        <w:rPr>
          <w:lang w:val="sr-Latn-CS"/>
        </w:rPr>
        <w:t>Акциони план запошљавања базира се на Националн</w:t>
      </w:r>
      <w:r w:rsidRPr="00844C95">
        <w:rPr>
          <w:lang w:val="sr-Cyrl-CS"/>
        </w:rPr>
        <w:t>ом</w:t>
      </w:r>
      <w:r w:rsidRPr="00844C95">
        <w:rPr>
          <w:lang w:val="sr-Latn-CS"/>
        </w:rPr>
        <w:t xml:space="preserve"> акцион</w:t>
      </w:r>
      <w:r w:rsidRPr="00844C95">
        <w:rPr>
          <w:lang w:val="sr-Cyrl-CS"/>
        </w:rPr>
        <w:t>ом</w:t>
      </w:r>
      <w:r w:rsidRPr="00844C95">
        <w:rPr>
          <w:lang w:val="sr-Latn-CS"/>
        </w:rPr>
        <w:t xml:space="preserve"> план</w:t>
      </w:r>
      <w:r w:rsidRPr="00844C95">
        <w:rPr>
          <w:lang w:val="sr-Cyrl-CS"/>
        </w:rPr>
        <w:t>у</w:t>
      </w:r>
      <w:r w:rsidRPr="00844C95">
        <w:rPr>
          <w:lang w:val="sr-Latn-CS"/>
        </w:rPr>
        <w:t xml:space="preserve"> запошљавања </w:t>
      </w:r>
      <w:r>
        <w:rPr>
          <w:lang w:val="sr-Cyrl-CS"/>
        </w:rPr>
        <w:t>за 2017</w:t>
      </w:r>
      <w:r w:rsidRPr="00844C95">
        <w:rPr>
          <w:lang w:val="sr-Cyrl-CS"/>
        </w:rPr>
        <w:t xml:space="preserve">. годину </w:t>
      </w:r>
      <w:r w:rsidRPr="00844C95">
        <w:rPr>
          <w:lang w:val="sr-Latn-CS"/>
        </w:rPr>
        <w:t>који је основни инструмент за спровођење Акционог плана запошљавања за 201</w:t>
      </w:r>
      <w:r>
        <w:rPr>
          <w:lang w:val="sr-Cyrl-CS"/>
        </w:rPr>
        <w:t>7</w:t>
      </w:r>
      <w:r w:rsidRPr="00844C95">
        <w:rPr>
          <w:lang w:val="sr-Latn-CS"/>
        </w:rPr>
        <w:t>. годину. Овим стратешким документом дефинисани су приоритетни циљеви запошљавања у 201</w:t>
      </w:r>
      <w:r>
        <w:rPr>
          <w:lang w:val="sr-Cyrl-CS"/>
        </w:rPr>
        <w:t>7</w:t>
      </w:r>
      <w:r w:rsidRPr="00844C95">
        <w:rPr>
          <w:lang w:val="sr-Latn-CS"/>
        </w:rPr>
        <w:t>. години и утврђени програми и мере које ће се реализовати.</w:t>
      </w:r>
    </w:p>
    <w:p w:rsidR="00D55EFE" w:rsidRPr="00844C95" w:rsidRDefault="00D55EFE" w:rsidP="00D55EFE">
      <w:pPr>
        <w:pStyle w:val="BodyTextFirstIndent"/>
        <w:rPr>
          <w:lang w:val="sr-Cyrl-CS"/>
        </w:rPr>
      </w:pPr>
    </w:p>
    <w:p w:rsidR="00D55EFE" w:rsidRPr="00844C95" w:rsidRDefault="00D55EFE" w:rsidP="00D55EFE">
      <w:pPr>
        <w:pStyle w:val="BodyTextFirstIndent"/>
        <w:rPr>
          <w:lang w:val="sr-Latn-CS"/>
        </w:rPr>
      </w:pPr>
      <w:r w:rsidRPr="00844C95">
        <w:rPr>
          <w:lang w:val="sr-Latn-CS"/>
        </w:rPr>
        <w:t xml:space="preserve"> На овај начин </w:t>
      </w:r>
      <w:r w:rsidRPr="00844C95">
        <w:rPr>
          <w:lang w:val="sr-Cyrl-CS"/>
        </w:rPr>
        <w:t>општина</w:t>
      </w:r>
      <w:r w:rsidRPr="00844C95">
        <w:rPr>
          <w:lang w:val="sr-Latn-CS"/>
        </w:rPr>
        <w:t xml:space="preserve"> жели да задржи број запослених лица и да створи услове за повећање броја нових радних места у овој и наредним годинама активном политиком економског развоја.</w:t>
      </w:r>
    </w:p>
    <w:p w:rsidR="00D55EFE" w:rsidRPr="00844C95" w:rsidRDefault="00D55EFE" w:rsidP="00D55EFE">
      <w:pPr>
        <w:pStyle w:val="BodyTextFirstIndent"/>
        <w:rPr>
          <w:lang w:val="sr-Cyrl-CS"/>
        </w:rPr>
      </w:pPr>
      <w:r w:rsidRPr="00844C95">
        <w:rPr>
          <w:lang w:val="sr-Latn-CS"/>
        </w:rPr>
        <w:t>Стопа незапослености у наш</w:t>
      </w:r>
      <w:r w:rsidRPr="00844C95">
        <w:rPr>
          <w:lang w:val="sr-Cyrl-CS"/>
        </w:rPr>
        <w:t>ој општини</w:t>
      </w:r>
      <w:r w:rsidRPr="00844C95">
        <w:rPr>
          <w:lang w:val="sr-Latn-CS"/>
        </w:rPr>
        <w:t xml:space="preserve"> је алармантна. Због тога Локални акциони план запошљавања представља важан инструмент за решавање овог проблема.</w:t>
      </w:r>
    </w:p>
    <w:p w:rsidR="00D55EFE" w:rsidRDefault="00D55EFE" w:rsidP="00D55EFE">
      <w:pPr>
        <w:pStyle w:val="BodyTextFirstIndent"/>
        <w:rPr>
          <w:lang w:val="sr-Latn-CS"/>
        </w:rPr>
      </w:pPr>
      <w:r w:rsidRPr="00844C95">
        <w:rPr>
          <w:lang w:val="sr-Latn-CS"/>
        </w:rPr>
        <w:t>Приоритети ЛАПЗ у 201</w:t>
      </w:r>
      <w:r>
        <w:rPr>
          <w:lang w:val="sr-Cyrl-CS"/>
        </w:rPr>
        <w:t>7</w:t>
      </w:r>
      <w:r w:rsidRPr="00844C95">
        <w:rPr>
          <w:lang w:val="sr-Latn-CS"/>
        </w:rPr>
        <w:t>.</w:t>
      </w:r>
      <w:r w:rsidRPr="00844C95">
        <w:rPr>
          <w:lang w:val="sr-Cyrl-CS"/>
        </w:rPr>
        <w:t xml:space="preserve"> години</w:t>
      </w:r>
      <w:r w:rsidRPr="00844C95">
        <w:rPr>
          <w:lang w:val="sr-Latn-CS"/>
        </w:rPr>
        <w:t xml:space="preserve"> првенствено су усмерени на улагање у људски капитал, подстицање социјалне инклузије на тржишту рада и отварање нових радних места. У том смислу, уважавајући смернице и препоруке европске политике запошљавања, приоритети политике запошљавања у РС у 201</w:t>
      </w:r>
      <w:r>
        <w:rPr>
          <w:lang w:val="sr-Cyrl-CS"/>
        </w:rPr>
        <w:t>7</w:t>
      </w:r>
      <w:r w:rsidRPr="00844C95">
        <w:rPr>
          <w:lang w:val="sr-Latn-CS"/>
        </w:rPr>
        <w:t xml:space="preserve">. години јесу: </w:t>
      </w:r>
    </w:p>
    <w:p w:rsidR="00D55EFE" w:rsidRPr="00340021" w:rsidRDefault="00D55EFE" w:rsidP="00D55EFE">
      <w:pPr>
        <w:pStyle w:val="ListParagraph"/>
        <w:numPr>
          <w:ilvl w:val="0"/>
          <w:numId w:val="11"/>
        </w:numPr>
        <w:tabs>
          <w:tab w:val="clear" w:pos="0"/>
        </w:tabs>
        <w:autoSpaceDE/>
        <w:autoSpaceDN/>
        <w:adjustRightInd/>
        <w:jc w:val="both"/>
        <w:rPr>
          <w:rFonts w:ascii="Cambria" w:hAnsi="Cambria"/>
        </w:rPr>
      </w:pPr>
      <w:r w:rsidRPr="00340021">
        <w:rPr>
          <w:rFonts w:ascii="Cambria" w:hAnsi="Cambria"/>
          <w:lang w:val="sr-Cyrl-CS"/>
        </w:rPr>
        <w:t>Побољшање услова на тржишту рада и унапређење институција тржишта рада,</w:t>
      </w:r>
    </w:p>
    <w:p w:rsidR="00D55EFE" w:rsidRDefault="00D55EFE" w:rsidP="00D55EFE">
      <w:pPr>
        <w:pStyle w:val="ListParagraph"/>
        <w:numPr>
          <w:ilvl w:val="0"/>
          <w:numId w:val="11"/>
        </w:numPr>
        <w:tabs>
          <w:tab w:val="clear" w:pos="0"/>
        </w:tabs>
        <w:autoSpaceDE/>
        <w:autoSpaceDN/>
        <w:adjustRightInd/>
        <w:jc w:val="both"/>
        <w:rPr>
          <w:rFonts w:ascii="Cambria" w:hAnsi="Cambria"/>
        </w:rPr>
      </w:pPr>
      <w:r w:rsidRPr="00E0225E">
        <w:rPr>
          <w:rFonts w:ascii="Cambria" w:hAnsi="Cambria"/>
          <w:lang w:val="sr-Cyrl-CS"/>
        </w:rPr>
        <w:t>Подстицање запошљавања и укључивања теже запошљивих лица на тржиште рада и подршку регионалној и локалној политици запошљавања,</w:t>
      </w:r>
    </w:p>
    <w:p w:rsidR="00D55EFE" w:rsidRDefault="00D55EFE" w:rsidP="00D55EFE">
      <w:pPr>
        <w:pStyle w:val="ListParagraph"/>
        <w:numPr>
          <w:ilvl w:val="0"/>
          <w:numId w:val="11"/>
        </w:numPr>
        <w:tabs>
          <w:tab w:val="clear" w:pos="0"/>
        </w:tabs>
        <w:autoSpaceDE/>
        <w:autoSpaceDN/>
        <w:adjustRightInd/>
        <w:jc w:val="both"/>
        <w:rPr>
          <w:rFonts w:ascii="Cambria" w:hAnsi="Cambria"/>
        </w:rPr>
      </w:pPr>
      <w:r w:rsidRPr="00E0225E">
        <w:rPr>
          <w:rFonts w:ascii="Cambria" w:hAnsi="Cambria"/>
          <w:lang w:val="sr-Cyrl-CS"/>
        </w:rPr>
        <w:t>Унапређење квалитета радне снаге и улагање у људски капитал.</w:t>
      </w:r>
    </w:p>
    <w:p w:rsidR="00D55EFE" w:rsidRPr="002863B6" w:rsidRDefault="00D55EFE" w:rsidP="00D55EFE">
      <w:pPr>
        <w:spacing w:after="0" w:line="240" w:lineRule="auto"/>
        <w:ind w:left="709"/>
        <w:jc w:val="both"/>
        <w:rPr>
          <w:rFonts w:ascii="Cambria" w:hAnsi="Cambria" w:cs="Times New Roman"/>
        </w:rPr>
      </w:pPr>
    </w:p>
    <w:p w:rsidR="00D55EFE" w:rsidRDefault="00D55EFE" w:rsidP="00D55EFE">
      <w:pPr>
        <w:pStyle w:val="BodyTextFirstIndent"/>
        <w:rPr>
          <w:lang w:val="sr-Latn-CS"/>
        </w:rPr>
      </w:pPr>
      <w:r w:rsidRPr="00844C95">
        <w:rPr>
          <w:lang w:val="sr-Latn-CS"/>
        </w:rPr>
        <w:t>Приоритети политике запошљавања у 201</w:t>
      </w:r>
      <w:r>
        <w:rPr>
          <w:lang w:val="sr-Cyrl-CS"/>
        </w:rPr>
        <w:t>7</w:t>
      </w:r>
      <w:r w:rsidRPr="00844C95">
        <w:rPr>
          <w:lang w:val="sr-Latn-CS"/>
        </w:rPr>
        <w:t xml:space="preserve">. </w:t>
      </w:r>
      <w:r w:rsidRPr="00844C95">
        <w:rPr>
          <w:lang w:val="sr-Cyrl-CS"/>
        </w:rPr>
        <w:t>г</w:t>
      </w:r>
      <w:r w:rsidRPr="00844C95">
        <w:rPr>
          <w:lang w:val="sr-Latn-CS"/>
        </w:rPr>
        <w:t>одини произишли су из реалних потреба и део су стратешких опредељења и средњорочних циљева, тако да неће бити у потпуности реализовани у 201</w:t>
      </w:r>
      <w:r>
        <w:rPr>
          <w:lang w:val="sr-Cyrl-CS"/>
        </w:rPr>
        <w:t>7</w:t>
      </w:r>
      <w:r w:rsidRPr="00844C95">
        <w:rPr>
          <w:lang w:val="sr-Latn-CS"/>
        </w:rPr>
        <w:t xml:space="preserve">. </w:t>
      </w:r>
      <w:r w:rsidRPr="00844C95">
        <w:rPr>
          <w:lang w:val="sr-Cyrl-CS"/>
        </w:rPr>
        <w:t>г</w:t>
      </w:r>
      <w:r w:rsidRPr="00844C95">
        <w:rPr>
          <w:lang w:val="sr-Latn-CS"/>
        </w:rPr>
        <w:t>одини. Ипак, неопходно је започети са реализацијом активности које се на њих односе како би се у наредним годинама достигли жељени резултати.</w:t>
      </w:r>
    </w:p>
    <w:p w:rsidR="00D55EFE" w:rsidRPr="00F30820" w:rsidRDefault="00D55EFE" w:rsidP="00D55EFE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:rsidR="00D55EFE" w:rsidRPr="00595070" w:rsidRDefault="00D55EFE" w:rsidP="00D55EFE">
      <w:pPr>
        <w:spacing w:after="0" w:line="240" w:lineRule="auto"/>
        <w:ind w:left="720"/>
        <w:jc w:val="both"/>
        <w:rPr>
          <w:rFonts w:ascii="Cambria" w:eastAsia="Calibri" w:hAnsi="Cambria" w:cs="Times New Roman"/>
          <w:b/>
        </w:rPr>
      </w:pPr>
    </w:p>
    <w:p w:rsidR="00D55EFE" w:rsidRPr="00E0225E" w:rsidRDefault="00D55EFE" w:rsidP="00D55EFE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55EFE" w:rsidRPr="00595070" w:rsidRDefault="00D55EFE" w:rsidP="00D55EFE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D55EFE" w:rsidRPr="00595070" w:rsidRDefault="00D55EFE" w:rsidP="00D55EFE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D55EFE" w:rsidRPr="00595070" w:rsidRDefault="00D55EFE" w:rsidP="00D55EFE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D55EFE" w:rsidRPr="00595070" w:rsidRDefault="00D55EFE" w:rsidP="00D55EFE">
      <w:pPr>
        <w:pStyle w:val="BodyTextFirstIndent"/>
      </w:pPr>
    </w:p>
    <w:p w:rsidR="00D55EFE" w:rsidRPr="00844C95" w:rsidRDefault="00D55EFE" w:rsidP="00D55EFE">
      <w:pPr>
        <w:pStyle w:val="BodyTextFirstIndent"/>
        <w:rPr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Pr="00602324" w:rsidRDefault="00D55EFE" w:rsidP="00D55EFE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602324">
        <w:rPr>
          <w:rFonts w:ascii="Times New Roman" w:hAnsi="Times New Roman" w:cs="Times New Roman"/>
          <w:sz w:val="36"/>
          <w:szCs w:val="36"/>
          <w:lang w:val="sr-Cyrl-CS"/>
        </w:rPr>
        <w:lastRenderedPageBreak/>
        <w:t>ПРОФИЛ ОПШТИНЕ ГАЏИН ХАН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Административни и географски положај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cr/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Гаџин Хан је општина Нишавског округа у Србији. На северу се граничи са општином Бела Паланка и градом Нишем, на југоистоку општином Бабушница, на југу су општине Власотинце и Лесковац, а на западу са општином Дољевац. Општина заузима површину од 325 км² (од чега на пољопривредну површину отпада 18.201 ха, а на шумску 10.610 ха). Према последњем попису становништва из 2011. године у општини живи 8.357 становника. Општина Гаџин Хан обухвата 34 насељена места. 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noProof/>
          <w:lang w:val="sr-Cyrl-BA"/>
        </w:rPr>
      </w:pP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3990975"/>
            <wp:effectExtent l="19050" t="0" r="9525" b="0"/>
            <wp:docPr id="4" name="Picture 1" descr="C:\Users\PC\Desktop\Municipalities_of_Serbia_Gadžin_H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PC\Desktop\Municipalities_of_Serbia_Gadžin_H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94" cy="399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4C95">
        <w:rPr>
          <w:rFonts w:ascii="Times New Roman" w:hAnsi="Times New Roman" w:cs="Times New Roman"/>
          <w:noProof/>
        </w:rPr>
        <w:t xml:space="preserve"> </w:t>
      </w: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3990975"/>
            <wp:effectExtent l="1905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96" cy="399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Слика 1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: Географска карта Србије                              </w:t>
      </w: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Слика 2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: Положај општине Гаџин Хан у 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са ознаком општине  Гаџин Хан                                  Нишавском округу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5EFE" w:rsidRPr="00844C95" w:rsidRDefault="00D55EFE" w:rsidP="00D55EFE">
      <w:pPr>
        <w:pStyle w:val="NormalWeb"/>
        <w:spacing w:before="0" w:after="0"/>
        <w:jc w:val="both"/>
        <w:rPr>
          <w:lang w:val="sr-Latn-CS"/>
        </w:rPr>
      </w:pPr>
      <w:r w:rsidRPr="00844C95">
        <w:rPr>
          <w:lang w:val="sr-Cyrl-CS"/>
        </w:rPr>
        <w:t>Подру</w:t>
      </w:r>
      <w:r w:rsidRPr="00844C95">
        <w:rPr>
          <w:lang w:val="sr-Latn-CS"/>
        </w:rPr>
        <w:t xml:space="preserve">чје </w:t>
      </w:r>
      <w:r w:rsidRPr="00844C95">
        <w:rPr>
          <w:lang w:val="sr-Cyrl-CS"/>
        </w:rPr>
        <w:t xml:space="preserve">општине </w:t>
      </w:r>
      <w:r w:rsidRPr="00844C95">
        <w:rPr>
          <w:lang w:val="sr-Latn-CS"/>
        </w:rPr>
        <w:t>Гаџин Хан припада простору Југоисточне Србије, кој</w:t>
      </w:r>
      <w:r w:rsidRPr="00844C95">
        <w:rPr>
          <w:lang w:val="sr-Cyrl-CS"/>
        </w:rPr>
        <w:t>а</w:t>
      </w:r>
      <w:r w:rsidRPr="00844C95">
        <w:rPr>
          <w:lang w:val="sr-Latn-CS"/>
        </w:rPr>
        <w:t xml:space="preserve"> припада централној зони Балканског полуострва коју је одредио Јован Цвијић још 1924</w:t>
      </w:r>
      <w:r w:rsidRPr="00844C95">
        <w:rPr>
          <w:lang w:val="sr-Cyrl-CS"/>
        </w:rPr>
        <w:t>.</w:t>
      </w:r>
      <w:r w:rsidRPr="00844C95">
        <w:rPr>
          <w:lang w:val="sr-Latn-CS"/>
        </w:rPr>
        <w:t xml:space="preserve"> године. Област Гаџин Хан лежи између Суве планине, Бабичке Горе и Селичевице и највећим делом се поклапа са подручјем општине Гаџин Хан.</w:t>
      </w:r>
    </w:p>
    <w:p w:rsidR="00D55EFE" w:rsidRPr="00844C95" w:rsidRDefault="00D55EFE" w:rsidP="00D55EFE">
      <w:pPr>
        <w:pStyle w:val="NormalWeb"/>
        <w:spacing w:before="0" w:after="0"/>
        <w:jc w:val="both"/>
        <w:rPr>
          <w:lang w:val="sr-Latn-CS"/>
        </w:rPr>
      </w:pPr>
      <w:r w:rsidRPr="00844C95">
        <w:rPr>
          <w:lang w:val="sr-Latn-CS"/>
        </w:rPr>
        <w:t>Својом територијом општина Гаџин Хан излази у Поморавље, на реку Јужну Мораву и на аутопут Ниш – Скопље</w:t>
      </w:r>
      <w:r w:rsidRPr="00844C95">
        <w:rPr>
          <w:lang w:val="sr-Cyrl-CS"/>
        </w:rPr>
        <w:t xml:space="preserve">, тј. </w:t>
      </w:r>
      <w:r w:rsidRPr="00844C95">
        <w:rPr>
          <w:lang w:val="sr-Latn-CS"/>
        </w:rPr>
        <w:t xml:space="preserve">КОРИДОР X. Пошто је ограничено трима планинама и реком </w:t>
      </w:r>
      <w:r w:rsidRPr="00844C95">
        <w:rPr>
          <w:lang w:val="sr-Latn-CS"/>
        </w:rPr>
        <w:lastRenderedPageBreak/>
        <w:t>Јужном Моравом, подручје Гаџин Хан има низине на само 200 м надморске висине, а поједини његови терени се подижу и до 1</w:t>
      </w:r>
      <w:r w:rsidRPr="00844C95">
        <w:rPr>
          <w:lang w:val="sr-Cyrl-CS"/>
        </w:rPr>
        <w:t>.</w:t>
      </w:r>
      <w:r w:rsidRPr="00844C95">
        <w:rPr>
          <w:lang w:val="sr-Latn-CS"/>
        </w:rPr>
        <w:t>808</w:t>
      </w:r>
      <w:r w:rsidRPr="00844C95">
        <w:rPr>
          <w:lang w:val="sr-Cyrl-CS"/>
        </w:rPr>
        <w:t xml:space="preserve"> </w:t>
      </w:r>
      <w:r w:rsidRPr="00844C95">
        <w:rPr>
          <w:lang w:val="sr-Latn-CS"/>
        </w:rPr>
        <w:t>м</w:t>
      </w:r>
      <w:r w:rsidRPr="00844C95">
        <w:rPr>
          <w:lang w:val="sr-Cyrl-CS"/>
        </w:rPr>
        <w:t xml:space="preserve"> надморске висине</w:t>
      </w:r>
      <w:r w:rsidRPr="00844C95">
        <w:rPr>
          <w:lang w:val="sr-Latn-CS"/>
        </w:rPr>
        <w:t>.  Низијски део је незнатан, па се зато може рећи да је општина Гаџин Хан брдско</w:t>
      </w:r>
      <w:r w:rsidRPr="00844C95">
        <w:rPr>
          <w:lang w:val="sr-Cyrl-CS"/>
        </w:rPr>
        <w:t>-</w:t>
      </w:r>
      <w:r w:rsidRPr="00844C95">
        <w:rPr>
          <w:lang w:val="sr-Latn-CS"/>
        </w:rPr>
        <w:t>планинско подручје, у коме се брежуљци смењују са брдима, а ова са планинским странама и гребенима.</w:t>
      </w:r>
    </w:p>
    <w:p w:rsidR="00D55EFE" w:rsidRPr="00844C95" w:rsidRDefault="00D55EFE" w:rsidP="00D55EFE">
      <w:pPr>
        <w:pStyle w:val="NormalWeb"/>
        <w:spacing w:before="0" w:after="0"/>
        <w:jc w:val="both"/>
        <w:rPr>
          <w:lang w:val="hr-HR"/>
        </w:rPr>
      </w:pPr>
      <w:r w:rsidRPr="00844C95">
        <w:rPr>
          <w:lang w:val="hr-HR"/>
        </w:rPr>
        <w:t xml:space="preserve">Гаџин Хан има умерено-континенталну климу у нижој зони, док на Сувој планини и Бабичкој гори она задобија карактеристике субпланинске и планинске климе. У Горњем Заплању преовладава нешто оштрија умерено-континентална клима, док је у Доњем Заплању она нешто блажа. Дужина периода без мразева износи 230 дана у Нишу и околини, а то је највећи број дана у Србији </w:t>
      </w:r>
      <w:r w:rsidRPr="00844C95">
        <w:rPr>
          <w:lang w:val="sr-Cyrl-CS"/>
        </w:rPr>
        <w:t xml:space="preserve">по том критеријуму </w:t>
      </w:r>
      <w:r w:rsidRPr="00844C95">
        <w:rPr>
          <w:lang w:val="hr-HR"/>
        </w:rPr>
        <w:t>(изузев Неготина). Климатске карактеристике Заплања имају предност у виноградарској производњи и у производњи семена и дувана, те јагодичастог воћа. Летњи месеци (јун, јул, август и септембар) су изразито топли што је повољна околност за производњу пољопривредних култура. Клима у Заплању погодна је за ратарске културе као и друге културе које траже сува и топла лета. Међутим, Гаџин Ха</w:t>
      </w:r>
      <w:r w:rsidRPr="00844C95">
        <w:rPr>
          <w:lang w:val="sr-Cyrl-CS"/>
        </w:rPr>
        <w:t>н је</w:t>
      </w:r>
      <w:r w:rsidRPr="00844C95">
        <w:rPr>
          <w:lang w:val="hr-HR"/>
        </w:rPr>
        <w:t xml:space="preserve"> по традицији и могућностима које пружа природа предодређен </w:t>
      </w:r>
      <w:r w:rsidRPr="00844C95">
        <w:rPr>
          <w:lang w:val="sr-Cyrl-CS"/>
        </w:rPr>
        <w:t xml:space="preserve">и </w:t>
      </w:r>
      <w:r w:rsidRPr="00844C95">
        <w:rPr>
          <w:lang w:val="hr-HR"/>
        </w:rPr>
        <w:t xml:space="preserve">за сточарство. </w:t>
      </w:r>
      <w:r w:rsidRPr="00844C95">
        <w:rPr>
          <w:lang w:val="sr-Cyrl-CS"/>
        </w:rPr>
        <w:t>Тако се б</w:t>
      </w:r>
      <w:r w:rsidRPr="00844C95">
        <w:rPr>
          <w:lang w:val="hr-HR"/>
        </w:rPr>
        <w:t xml:space="preserve">удућност Заплања </w:t>
      </w:r>
      <w:r w:rsidRPr="00844C95">
        <w:rPr>
          <w:lang w:val="sr-Cyrl-CS"/>
        </w:rPr>
        <w:t>види</w:t>
      </w:r>
      <w:r w:rsidRPr="00844C95">
        <w:rPr>
          <w:lang w:val="hr-HR"/>
        </w:rPr>
        <w:t xml:space="preserve"> у производњи здраве хране.</w:t>
      </w:r>
    </w:p>
    <w:p w:rsidR="00D55EFE" w:rsidRPr="00844C95" w:rsidRDefault="00D55EFE" w:rsidP="00D55EFE">
      <w:pPr>
        <w:pStyle w:val="NormalWeb"/>
        <w:spacing w:before="0" w:after="0"/>
        <w:jc w:val="both"/>
        <w:rPr>
          <w:lang w:val="sr-Cyrl-CS"/>
        </w:rPr>
      </w:pPr>
      <w:r w:rsidRPr="00844C95">
        <w:rPr>
          <w:lang w:val="ru-RU"/>
        </w:rPr>
        <w:t>Оп</w:t>
      </w:r>
      <w:r w:rsidRPr="00844C95">
        <w:rPr>
          <w:lang w:val="hr-HR"/>
        </w:rPr>
        <w:t>ш</w:t>
      </w:r>
      <w:r w:rsidRPr="00844C95">
        <w:rPr>
          <w:lang w:val="ru-RU"/>
        </w:rPr>
        <w:t>тина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Гаџин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Хан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обухвата</w:t>
      </w:r>
      <w:r w:rsidRPr="00844C95">
        <w:rPr>
          <w:lang w:val="hr-HR"/>
        </w:rPr>
        <w:t xml:space="preserve"> 34 </w:t>
      </w:r>
      <w:r w:rsidRPr="00844C95">
        <w:rPr>
          <w:lang w:val="ru-RU"/>
        </w:rPr>
        <w:t>насељена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места</w:t>
      </w:r>
      <w:r w:rsidRPr="00844C95">
        <w:rPr>
          <w:lang w:val="hr-HR"/>
        </w:rPr>
        <w:t xml:space="preserve">. </w:t>
      </w:r>
      <w:r w:rsidRPr="00844C95">
        <w:rPr>
          <w:lang w:val="ru-RU"/>
        </w:rPr>
        <w:t>Насељена места општине Гаџин Хан су дата посредством следеће табеле:</w:t>
      </w:r>
    </w:p>
    <w:p w:rsidR="00D55EFE" w:rsidRPr="00844C95" w:rsidRDefault="00D55EFE" w:rsidP="00D55EFE">
      <w:pPr>
        <w:pStyle w:val="NormalWeb"/>
        <w:spacing w:before="0" w:after="0"/>
        <w:jc w:val="both"/>
        <w:rPr>
          <w:lang w:val="ru-RU"/>
        </w:rPr>
      </w:pPr>
    </w:p>
    <w:p w:rsidR="00D55EFE" w:rsidRPr="00844C95" w:rsidRDefault="00D55EFE" w:rsidP="00D55EFE">
      <w:pPr>
        <w:pStyle w:val="NormalWeb"/>
        <w:spacing w:before="0" w:after="0"/>
        <w:jc w:val="both"/>
        <w:rPr>
          <w:lang w:val="ru-RU"/>
        </w:rPr>
      </w:pPr>
    </w:p>
    <w:tbl>
      <w:tblPr>
        <w:tblW w:w="0" w:type="auto"/>
        <w:tblInd w:w="125" w:type="dxa"/>
        <w:tblLayout w:type="fixed"/>
        <w:tblLook w:val="0000"/>
      </w:tblPr>
      <w:tblGrid>
        <w:gridCol w:w="2389"/>
        <w:gridCol w:w="1424"/>
        <w:gridCol w:w="1448"/>
        <w:gridCol w:w="1713"/>
        <w:gridCol w:w="2377"/>
      </w:tblGrid>
      <w:tr w:rsidR="00D55EFE" w:rsidRPr="00844C95" w:rsidTr="00002275">
        <w:tc>
          <w:tcPr>
            <w:tcW w:w="238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4C95">
              <w:rPr>
                <w:rFonts w:ascii="Times New Roman" w:hAnsi="Times New Roman" w:cs="Times New Roman"/>
                <w:lang w:val="ru-RU"/>
              </w:rPr>
              <w:t>Насељено место</w:t>
            </w:r>
          </w:p>
        </w:tc>
        <w:tc>
          <w:tcPr>
            <w:tcW w:w="14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Укупно пописана лица</w:t>
            </w: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Укупан број становника</w:t>
            </w:r>
          </w:p>
        </w:tc>
        <w:tc>
          <w:tcPr>
            <w:tcW w:w="17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Лица у иностранству</w:t>
            </w:r>
          </w:p>
        </w:tc>
        <w:tc>
          <w:tcPr>
            <w:tcW w:w="23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Укупан број домаћинства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Велики Вртоп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3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109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Велики Крчимир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0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Виландрица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4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5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Гаре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8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Гаџин Хан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8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1209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468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Горње Власе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6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Горње Драговље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346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327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167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Горњи Барбеш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451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408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190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Горњи Душник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83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Гркиња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677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649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0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263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Доње Драговље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163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Доњи Барбеш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93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lastRenderedPageBreak/>
              <w:t>Доњи Душник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5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538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5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1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185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Дуга Пољана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6</w:t>
            </w:r>
            <w:r w:rsidRPr="00844C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Дукат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08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76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Јагличје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8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Калетинац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5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Копривница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32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Краставче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Личје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271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269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9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146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Мали Вртоп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61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Мали Крчимир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5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75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Марина Кутина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8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133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Миљковац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Ново Село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Овсињинац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73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Равна Дубрава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294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142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Семче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232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226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3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103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Сопотница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78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Тасковићи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1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297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1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134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Топоница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3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882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874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2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256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Ћелије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9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Чагровац,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6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D55EFE" w:rsidRPr="00844C95" w:rsidTr="00002275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D55EFE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Шебет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</w:tr>
      <w:tr w:rsidR="00D55EFE" w:rsidRPr="00844C95" w:rsidTr="00002275">
        <w:trPr>
          <w:trHeight w:val="530"/>
        </w:trPr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Општина </w:t>
            </w:r>
          </w:p>
          <w:p w:rsidR="00D55EFE" w:rsidRPr="00844C95" w:rsidRDefault="00D55EFE" w:rsidP="0000227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ru-RU"/>
              </w:rPr>
              <w:t>Гаџин Хан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8770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835</w:t>
            </w:r>
            <w:r w:rsidRPr="00844C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78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</w:rPr>
              <w:t>36</w:t>
            </w: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42</w:t>
            </w:r>
          </w:p>
        </w:tc>
      </w:tr>
    </w:tbl>
    <w:p w:rsidR="00D55EFE" w:rsidRPr="00844C95" w:rsidRDefault="00D55EFE" w:rsidP="00D55EFE">
      <w:pPr>
        <w:pStyle w:val="Caption"/>
        <w:rPr>
          <w:rFonts w:ascii="Times New Roman" w:hAnsi="Times New Roman"/>
          <w:lang w:val="sr-Cyrl-CS"/>
        </w:rPr>
      </w:pPr>
      <w:r w:rsidRPr="00844C95">
        <w:rPr>
          <w:rFonts w:ascii="Times New Roman" w:hAnsi="Times New Roman"/>
          <w:lang w:val="sr-Cyrl-CS"/>
        </w:rPr>
        <w:t xml:space="preserve">                                                                                      Извор: попис становништва 2011.године</w:t>
      </w:r>
    </w:p>
    <w:p w:rsidR="00D55EFE" w:rsidRPr="00844C95" w:rsidRDefault="00D55EFE" w:rsidP="00D55EFE">
      <w:pPr>
        <w:pStyle w:val="Caption"/>
        <w:rPr>
          <w:rFonts w:ascii="Times New Roman" w:hAnsi="Times New Roman"/>
          <w:sz w:val="24"/>
          <w:szCs w:val="24"/>
        </w:rPr>
      </w:pPr>
    </w:p>
    <w:p w:rsidR="00D55EFE" w:rsidRPr="00844C95" w:rsidRDefault="00D55EFE" w:rsidP="00D55EFE">
      <w:pPr>
        <w:pStyle w:val="Caption"/>
        <w:rPr>
          <w:rFonts w:ascii="Times New Roman" w:hAnsi="Times New Roman"/>
          <w:sz w:val="24"/>
          <w:szCs w:val="24"/>
        </w:rPr>
      </w:pPr>
    </w:p>
    <w:p w:rsidR="00D55EFE" w:rsidRPr="00844C95" w:rsidRDefault="00D55EFE" w:rsidP="00D55EFE">
      <w:pPr>
        <w:pStyle w:val="Caption"/>
        <w:rPr>
          <w:rFonts w:ascii="Times New Roman" w:hAnsi="Times New Roman"/>
        </w:rPr>
      </w:pPr>
      <w:r w:rsidRPr="00844C95">
        <w:rPr>
          <w:rFonts w:ascii="Times New Roman" w:hAnsi="Times New Roman"/>
          <w:sz w:val="24"/>
          <w:szCs w:val="24"/>
          <w:lang w:val="sr-Cyrl-BA"/>
        </w:rPr>
        <w:lastRenderedPageBreak/>
        <w:t>Геостратешки положај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Својом територијом општина Гаџин Хан излази у Поморавље, на реку Јужну Мораву и на 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аутопут Ниш – Скопље, тј. КОРИДОР 10. Преко територије општине пролазе два регионална путна правца. Локална путна мрежа је недовољно развијена. Гаџин Хан је повезан путем  225 са Ауто путем – 16 км. Последњих година захваљујући Министарству инфраструктуре и предузећу Путеви Србије, извршена је обнова и санација путне инфраструктуре на</w:t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>регионалним путним правцима</w:t>
      </w:r>
      <w:r w:rsidRPr="00844C95">
        <w:rPr>
          <w:rFonts w:ascii="Times New Roman" w:hAnsi="Times New Roman" w:cs="Times New Roman"/>
          <w:sz w:val="24"/>
          <w:szCs w:val="24"/>
        </w:rPr>
        <w:t xml:space="preserve"> II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А </w:t>
      </w:r>
      <w:r w:rsidRPr="00844C95">
        <w:rPr>
          <w:rFonts w:ascii="Times New Roman" w:hAnsi="Times New Roman" w:cs="Times New Roman"/>
          <w:sz w:val="24"/>
          <w:szCs w:val="24"/>
        </w:rPr>
        <w:t xml:space="preserve"> реда 224 и 225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.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Историјски подаци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У срцу Заплања налази се општина Гаџин Хан која се простире на површини од 325 км</w:t>
      </w:r>
      <w:r w:rsidRPr="00844C95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 Заплањци или становници Заплања су планинци а живе за или иза планине и називају се Заплањци. Гаџин Хан се некада звао Прокопова Кутина. Кутина је била у долини источно од садашњег центра. Постоје две легенде о именима ових села. Једна је о браћи Емину и Драшку Прокопу и сестри Марији. Друга легенда се односи на Гаџин Хан. Легенда говори да је пут који иде из правца Ниша у правцу Бабушнице прокопан, па се место називало Прокопана Кутина или Прокопова Кутина. Трагови овог пута постоје и данас.</w:t>
      </w:r>
    </w:p>
    <w:p w:rsidR="00D55EFE" w:rsidRPr="00844C95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Када су око 1850.године браћа Станко и Стојан дошли у Прокопану или Прокопову Кутину саградили хан. Један од браће Станко, имао је надимак Гаџа, па су сви говорили да иду у Гаџин Хан. До 1944. Место се званично називало Прокопова Кутина, а од 1944. носи данашњи назив Гаџин Хан.</w:t>
      </w:r>
    </w:p>
    <w:p w:rsidR="00D55EFE" w:rsidRPr="00844C95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Становништво, образовање и квалитет живота</w:t>
      </w: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Гаџин Хан, једна од једанаест општина Ни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844C95">
        <w:rPr>
          <w:rFonts w:ascii="Times New Roman" w:hAnsi="Times New Roman" w:cs="Times New Roman"/>
          <w:sz w:val="24"/>
          <w:szCs w:val="24"/>
        </w:rPr>
        <w:t>авског управног округа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44C95">
        <w:rPr>
          <w:rFonts w:ascii="Times New Roman" w:hAnsi="Times New Roman" w:cs="Times New Roman"/>
          <w:sz w:val="24"/>
          <w:szCs w:val="24"/>
        </w:rPr>
        <w:t xml:space="preserve"> простире се на површини од 325 км</w:t>
      </w:r>
      <w:r w:rsidRPr="00844C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4C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C95">
        <w:rPr>
          <w:rFonts w:ascii="Times New Roman" w:hAnsi="Times New Roman" w:cs="Times New Roman"/>
          <w:sz w:val="24"/>
          <w:szCs w:val="24"/>
        </w:rPr>
        <w:t xml:space="preserve">Подручје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44C95">
        <w:rPr>
          <w:rFonts w:ascii="Times New Roman" w:hAnsi="Times New Roman" w:cs="Times New Roman"/>
          <w:sz w:val="24"/>
          <w:szCs w:val="24"/>
        </w:rPr>
        <w:t xml:space="preserve">пштине има 34 насеља, у којима према попису становништва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844C95">
        <w:rPr>
          <w:rFonts w:ascii="Times New Roman" w:hAnsi="Times New Roman" w:cs="Times New Roman"/>
          <w:b/>
          <w:sz w:val="24"/>
          <w:szCs w:val="24"/>
        </w:rPr>
        <w:t>20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Pr="00844C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44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4C95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844C95">
        <w:rPr>
          <w:rFonts w:ascii="Times New Roman" w:hAnsi="Times New Roman" w:cs="Times New Roman"/>
          <w:b/>
          <w:sz w:val="24"/>
          <w:szCs w:val="24"/>
        </w:rPr>
        <w:t xml:space="preserve">, живи 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8.357</w:t>
      </w:r>
      <w:r w:rsidRPr="00844C95">
        <w:rPr>
          <w:rFonts w:ascii="Times New Roman" w:hAnsi="Times New Roman" w:cs="Times New Roman"/>
          <w:b/>
          <w:sz w:val="24"/>
          <w:szCs w:val="24"/>
        </w:rPr>
        <w:t xml:space="preserve"> становника</w:t>
      </w:r>
      <w:r w:rsidRPr="00844C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4C95">
        <w:rPr>
          <w:rFonts w:ascii="Times New Roman" w:hAnsi="Times New Roman" w:cs="Times New Roman"/>
          <w:sz w:val="24"/>
          <w:szCs w:val="24"/>
        </w:rPr>
        <w:t xml:space="preserve">По попису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2002</w:t>
      </w:r>
      <w:r w:rsidRPr="00844C95">
        <w:rPr>
          <w:rFonts w:ascii="Times New Roman" w:hAnsi="Times New Roman" w:cs="Times New Roman"/>
          <w:sz w:val="24"/>
          <w:szCs w:val="24"/>
        </w:rPr>
        <w:t xml:space="preserve">.године број становника је био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10.667</w:t>
      </w:r>
      <w:r w:rsidRPr="00844C95">
        <w:rPr>
          <w:rFonts w:ascii="Times New Roman" w:hAnsi="Times New Roman" w:cs="Times New Roman"/>
          <w:sz w:val="24"/>
          <w:szCs w:val="24"/>
        </w:rPr>
        <w:t>, а 1991.године 12.990 становника.</w:t>
      </w:r>
      <w:proofErr w:type="gramEnd"/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Као што је већ истакнуто, општина Гаџин Хан има велики проблем са одливом становништва са једне стране, односо са великим бројем старачких домаћинстава са друге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стране</w:t>
      </w:r>
      <w:r w:rsidRPr="00844C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Подаци о учешћу радног контигента у укупном становништву показују тенденцију пада, односно да на територији Општине има све мање радно способног становништва.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C95">
        <w:rPr>
          <w:rFonts w:ascii="Times New Roman" w:hAnsi="Times New Roman" w:cs="Times New Roman"/>
          <w:sz w:val="24"/>
          <w:szCs w:val="24"/>
        </w:rPr>
        <w:t>Миграције се више не односе само на село-град, већ се становништво исељава у веће административне и економски развијене центре.</w:t>
      </w:r>
      <w:proofErr w:type="gramEnd"/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Образовна структура је такође изузетно лоша и неопходно је подстицати више и високо образовање становника општине Гаџин Хан.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lastRenderedPageBreak/>
        <w:t xml:space="preserve">Неусклађеност образовне структуре са напорима општине за развој сектора МСПП и не постојање средње школе на територији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44C95">
        <w:rPr>
          <w:rFonts w:ascii="Times New Roman" w:hAnsi="Times New Roman" w:cs="Times New Roman"/>
          <w:sz w:val="24"/>
          <w:szCs w:val="24"/>
        </w:rPr>
        <w:t>пштине су све отежавајући фактори за унапређење квалитета живота у општини Гаџин Хан.</w:t>
      </w:r>
      <w:proofErr w:type="gramEnd"/>
    </w:p>
    <w:p w:rsidR="00D55EFE" w:rsidRPr="00844C95" w:rsidRDefault="00D55EFE" w:rsidP="00D55EFE">
      <w:pPr>
        <w:pStyle w:val="NormalWeb"/>
        <w:spacing w:before="0" w:after="0"/>
        <w:jc w:val="both"/>
        <w:rPr>
          <w:lang w:val="sr-Cyrl-CS"/>
        </w:rPr>
      </w:pPr>
      <w:r w:rsidRPr="00844C95">
        <w:rPr>
          <w:lang w:val="hr-HR"/>
        </w:rPr>
        <w:t xml:space="preserve">Општина Гаџин Хан убраја се у </w:t>
      </w:r>
      <w:r w:rsidRPr="00844C95">
        <w:rPr>
          <w:i/>
          <w:iCs/>
          <w:lang w:val="hr-HR"/>
        </w:rPr>
        <w:t xml:space="preserve">старе </w:t>
      </w:r>
      <w:r w:rsidRPr="00844C95">
        <w:rPr>
          <w:lang w:val="hr-HR"/>
        </w:rPr>
        <w:t>општине с обзиром да више од половине становника</w:t>
      </w:r>
      <w:r w:rsidRPr="00844C95">
        <w:rPr>
          <w:lang w:val="sr-Cyrl-CS"/>
        </w:rPr>
        <w:t xml:space="preserve">, односно </w:t>
      </w:r>
      <w:r w:rsidRPr="00844C95">
        <w:rPr>
          <w:lang w:val="hr-HR"/>
        </w:rPr>
        <w:t>56% припада старосним групама од 50 године па надаље</w:t>
      </w:r>
      <w:r w:rsidRPr="00844C95">
        <w:rPr>
          <w:lang w:val="sr-Cyrl-CS"/>
        </w:rPr>
        <w:t>. П</w:t>
      </w:r>
      <w:r w:rsidRPr="00844C95">
        <w:rPr>
          <w:lang w:val="hr-HR"/>
        </w:rPr>
        <w:t>риродн</w:t>
      </w:r>
      <w:r w:rsidRPr="00844C95">
        <w:rPr>
          <w:lang w:val="sr-Cyrl-CS"/>
        </w:rPr>
        <w:t xml:space="preserve">и </w:t>
      </w:r>
      <w:r w:rsidRPr="00844C95">
        <w:rPr>
          <w:lang w:val="hr-HR"/>
        </w:rPr>
        <w:t>прираштај</w:t>
      </w:r>
      <w:r w:rsidRPr="00844C95">
        <w:rPr>
          <w:lang w:val="sr-Cyrl-CS"/>
        </w:rPr>
        <w:t xml:space="preserve"> је негативан, и </w:t>
      </w:r>
      <w:r w:rsidRPr="00844C95">
        <w:rPr>
          <w:lang w:val="hr-HR"/>
        </w:rPr>
        <w:t>на 1</w:t>
      </w:r>
      <w:r w:rsidRPr="00844C95">
        <w:rPr>
          <w:lang w:val="sr-Cyrl-CS"/>
        </w:rPr>
        <w:t>.</w:t>
      </w:r>
      <w:r w:rsidRPr="00844C95">
        <w:rPr>
          <w:lang w:val="hr-HR"/>
        </w:rPr>
        <w:t>000 становника износи -18,7%, док контигент становништва до 20 годин</w:t>
      </w:r>
      <w:r w:rsidRPr="00844C95">
        <w:rPr>
          <w:lang w:val="sr-Cyrl-CS"/>
        </w:rPr>
        <w:t>а</w:t>
      </w:r>
      <w:r w:rsidRPr="00844C95">
        <w:rPr>
          <w:lang w:val="hr-HR"/>
        </w:rPr>
        <w:t xml:space="preserve"> чини свега 15,4 % укупног становништва.</w:t>
      </w:r>
    </w:p>
    <w:p w:rsidR="00D55EFE" w:rsidRPr="00844C95" w:rsidRDefault="00D55EFE" w:rsidP="00D55EFE">
      <w:pPr>
        <w:pStyle w:val="NormalWeb"/>
        <w:spacing w:before="0" w:after="0"/>
        <w:jc w:val="both"/>
        <w:rPr>
          <w:lang w:val="sr-Cyrl-CS"/>
        </w:rPr>
      </w:pPr>
    </w:p>
    <w:p w:rsidR="00D55EFE" w:rsidRPr="00844C95" w:rsidRDefault="00D55EFE" w:rsidP="00D55EFE">
      <w:pPr>
        <w:pStyle w:val="NormalWeb"/>
        <w:spacing w:before="0" w:after="0"/>
        <w:jc w:val="both"/>
        <w:rPr>
          <w:lang w:val="sr-Cyrl-CS"/>
        </w:rPr>
      </w:pPr>
      <w:r w:rsidRPr="00844C95">
        <w:rPr>
          <w:noProof/>
          <w:lang w:eastAsia="en-US"/>
        </w:rPr>
        <w:drawing>
          <wp:inline distT="0" distB="0" distL="0" distR="0">
            <wp:extent cx="5267325" cy="30099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Становништво према националној припадности</w:t>
      </w:r>
    </w:p>
    <w:tbl>
      <w:tblPr>
        <w:tblStyle w:val="TableGrid"/>
        <w:tblW w:w="11599" w:type="dxa"/>
        <w:tblInd w:w="-1051" w:type="dxa"/>
        <w:tblLayout w:type="fixed"/>
        <w:tblLook w:val="04A0"/>
      </w:tblPr>
      <w:tblGrid>
        <w:gridCol w:w="1159"/>
        <w:gridCol w:w="720"/>
        <w:gridCol w:w="720"/>
        <w:gridCol w:w="573"/>
        <w:gridCol w:w="787"/>
        <w:gridCol w:w="772"/>
        <w:gridCol w:w="922"/>
        <w:gridCol w:w="636"/>
        <w:gridCol w:w="496"/>
        <w:gridCol w:w="566"/>
        <w:gridCol w:w="661"/>
        <w:gridCol w:w="755"/>
        <w:gridCol w:w="661"/>
        <w:gridCol w:w="755"/>
        <w:gridCol w:w="876"/>
        <w:gridCol w:w="540"/>
      </w:tblGrid>
      <w:tr w:rsidR="00D55EFE" w:rsidRPr="00844C95" w:rsidTr="00002275">
        <w:trPr>
          <w:cantSplit/>
          <w:trHeight w:val="1143"/>
        </w:trPr>
        <w:tc>
          <w:tcPr>
            <w:tcW w:w="1159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Срби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Бугари</w:t>
            </w:r>
          </w:p>
        </w:tc>
        <w:tc>
          <w:tcPr>
            <w:tcW w:w="787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Југословени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Македонци</w:t>
            </w:r>
          </w:p>
        </w:tc>
        <w:tc>
          <w:tcPr>
            <w:tcW w:w="922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Муслимани</w:t>
            </w:r>
          </w:p>
        </w:tc>
        <w:tc>
          <w:tcPr>
            <w:tcW w:w="636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Роми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Руси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Русини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Словенци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Украјинци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Хрвати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Црногорци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 желе да се изјасне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D55EFE" w:rsidRPr="00844C95" w:rsidRDefault="00D55EFE" w:rsidP="000022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Непознато</w:t>
            </w:r>
          </w:p>
        </w:tc>
      </w:tr>
      <w:tr w:rsidR="00D55EFE" w:rsidRPr="00844C95" w:rsidTr="00002275">
        <w:trPr>
          <w:trHeight w:val="378"/>
        </w:trPr>
        <w:tc>
          <w:tcPr>
            <w:tcW w:w="1159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720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8389</w:t>
            </w:r>
          </w:p>
        </w:tc>
        <w:tc>
          <w:tcPr>
            <w:tcW w:w="720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7972</w:t>
            </w:r>
          </w:p>
        </w:tc>
        <w:tc>
          <w:tcPr>
            <w:tcW w:w="573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787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72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922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3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260</w:t>
            </w:r>
          </w:p>
        </w:tc>
        <w:tc>
          <w:tcPr>
            <w:tcW w:w="49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6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755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87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100</w:t>
            </w:r>
          </w:p>
        </w:tc>
        <w:tc>
          <w:tcPr>
            <w:tcW w:w="540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35</w:t>
            </w:r>
          </w:p>
        </w:tc>
      </w:tr>
      <w:tr w:rsidR="00D55EFE" w:rsidRPr="00844C95" w:rsidTr="00002275">
        <w:trPr>
          <w:trHeight w:val="378"/>
        </w:trPr>
        <w:tc>
          <w:tcPr>
            <w:tcW w:w="1159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Мушкарци</w:t>
            </w:r>
          </w:p>
        </w:tc>
        <w:tc>
          <w:tcPr>
            <w:tcW w:w="720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4288</w:t>
            </w:r>
          </w:p>
        </w:tc>
        <w:tc>
          <w:tcPr>
            <w:tcW w:w="720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4098</w:t>
            </w:r>
          </w:p>
        </w:tc>
        <w:tc>
          <w:tcPr>
            <w:tcW w:w="573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87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72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922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3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123</w:t>
            </w:r>
          </w:p>
        </w:tc>
        <w:tc>
          <w:tcPr>
            <w:tcW w:w="49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6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61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5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61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47</w:t>
            </w:r>
          </w:p>
        </w:tc>
        <w:tc>
          <w:tcPr>
            <w:tcW w:w="540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</w:tr>
      <w:tr w:rsidR="00D55EFE" w:rsidRPr="00844C95" w:rsidTr="00002275">
        <w:trPr>
          <w:trHeight w:val="378"/>
        </w:trPr>
        <w:tc>
          <w:tcPr>
            <w:tcW w:w="1159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Жене</w:t>
            </w:r>
          </w:p>
        </w:tc>
        <w:tc>
          <w:tcPr>
            <w:tcW w:w="720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4101</w:t>
            </w:r>
          </w:p>
        </w:tc>
        <w:tc>
          <w:tcPr>
            <w:tcW w:w="720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3874</w:t>
            </w:r>
          </w:p>
        </w:tc>
        <w:tc>
          <w:tcPr>
            <w:tcW w:w="573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87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72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922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3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137</w:t>
            </w:r>
          </w:p>
        </w:tc>
        <w:tc>
          <w:tcPr>
            <w:tcW w:w="49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6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755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876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53</w:t>
            </w:r>
          </w:p>
        </w:tc>
        <w:tc>
          <w:tcPr>
            <w:tcW w:w="540" w:type="dxa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</w:tr>
    </w:tbl>
    <w:p w:rsidR="00D55EFE" w:rsidRPr="00844C95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BA"/>
        </w:rPr>
      </w:pPr>
      <w:r w:rsidRPr="00844C95">
        <w:rPr>
          <w:rFonts w:ascii="Times New Roman" w:hAnsi="Times New Roman" w:cs="Times New Roman"/>
          <w:sz w:val="20"/>
          <w:szCs w:val="20"/>
          <w:lang w:val="sr-Cyrl-BA"/>
        </w:rPr>
        <w:t xml:space="preserve">                                               Извор: Републички завод за статистику</w:t>
      </w:r>
    </w:p>
    <w:p w:rsidR="00D55EFE" w:rsidRPr="00844C95" w:rsidRDefault="00D55EFE" w:rsidP="00D55EFE">
      <w:pPr>
        <w:pStyle w:val="NormalWeb"/>
        <w:spacing w:before="0" w:after="0"/>
        <w:jc w:val="both"/>
        <w:rPr>
          <w:lang w:val="sr-Cyrl-CS"/>
        </w:rPr>
      </w:pPr>
    </w:p>
    <w:p w:rsidR="00D55EFE" w:rsidRPr="00844C95" w:rsidRDefault="00D55EFE" w:rsidP="00D55EFE">
      <w:pPr>
        <w:pStyle w:val="NormalWeb"/>
        <w:spacing w:before="0" w:after="0"/>
        <w:jc w:val="both"/>
      </w:pPr>
    </w:p>
    <w:p w:rsidR="00D55EFE" w:rsidRPr="00844C95" w:rsidRDefault="00D55EFE" w:rsidP="00D55EFE">
      <w:pPr>
        <w:pStyle w:val="NormalWeb"/>
        <w:spacing w:before="0" w:after="0"/>
        <w:jc w:val="both"/>
      </w:pPr>
    </w:p>
    <w:p w:rsidR="00D55EFE" w:rsidRPr="00844C95" w:rsidRDefault="00D55EFE" w:rsidP="00D55EFE">
      <w:pPr>
        <w:pStyle w:val="NormalWeb"/>
        <w:spacing w:before="0" w:after="0"/>
        <w:jc w:val="both"/>
      </w:pPr>
    </w:p>
    <w:p w:rsidR="00D55EFE" w:rsidRPr="00844C95" w:rsidRDefault="00D55EFE" w:rsidP="00D55EFE">
      <w:pPr>
        <w:pStyle w:val="NormalWeb"/>
        <w:spacing w:before="0" w:after="0"/>
        <w:jc w:val="both"/>
      </w:pPr>
    </w:p>
    <w:p w:rsidR="00D55EFE" w:rsidRPr="00844C95" w:rsidRDefault="00D55EFE" w:rsidP="00D55EFE">
      <w:pPr>
        <w:pStyle w:val="Heading2"/>
        <w:keepLines w:val="0"/>
        <w:numPr>
          <w:ilvl w:val="1"/>
          <w:numId w:val="0"/>
        </w:numPr>
        <w:tabs>
          <w:tab w:val="num" w:pos="576"/>
          <w:tab w:val="left" w:pos="1560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r-Cyrl-CS"/>
        </w:rPr>
        <w:lastRenderedPageBreak/>
        <w:t>Локална самоуправа</w:t>
      </w:r>
    </w:p>
    <w:p w:rsidR="00D55EFE" w:rsidRPr="00844C95" w:rsidRDefault="00D55EFE" w:rsidP="00D55EFE">
      <w:pPr>
        <w:rPr>
          <w:rFonts w:ascii="Times New Roman" w:hAnsi="Times New Roman" w:cs="Times New Roman"/>
          <w:lang w:val="sl-SI"/>
        </w:rPr>
      </w:pP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СО Гаџин Хан има 33 одборника.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C95">
        <w:rPr>
          <w:rFonts w:ascii="Times New Roman" w:hAnsi="Times New Roman" w:cs="Times New Roman"/>
          <w:sz w:val="24"/>
          <w:szCs w:val="24"/>
        </w:rPr>
        <w:t xml:space="preserve">У саставу СО </w:t>
      </w:r>
      <w:r>
        <w:rPr>
          <w:rFonts w:ascii="Times New Roman" w:hAnsi="Times New Roman" w:cs="Times New Roman"/>
          <w:sz w:val="24"/>
          <w:szCs w:val="24"/>
        </w:rPr>
        <w:t>Гаџин Хан заступљено је укупно 4</w:t>
      </w:r>
      <w:r w:rsidRPr="00844C95">
        <w:rPr>
          <w:rFonts w:ascii="Times New Roman" w:hAnsi="Times New Roman" w:cs="Times New Roman"/>
          <w:sz w:val="24"/>
          <w:szCs w:val="24"/>
        </w:rPr>
        <w:t xml:space="preserve"> изборних листа.</w:t>
      </w:r>
      <w:proofErr w:type="gramEnd"/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Стална радна тела Скупштине општине Гаџин Хан су:</w:t>
      </w:r>
    </w:p>
    <w:p w:rsidR="00D55EFE" w:rsidRPr="00844C95" w:rsidRDefault="00D55EFE" w:rsidP="00D55EFE">
      <w:pPr>
        <w:pStyle w:val="ListBullet2"/>
      </w:pPr>
      <w:r w:rsidRPr="00844C95">
        <w:t>Административно мандатна комисија,</w:t>
      </w:r>
    </w:p>
    <w:p w:rsidR="00D55EFE" w:rsidRPr="00844C95" w:rsidRDefault="00D55EFE" w:rsidP="00D55EFE">
      <w:pPr>
        <w:pStyle w:val="ListBullet2"/>
        <w:rPr>
          <w:lang w:val="ru-RU"/>
        </w:rPr>
      </w:pPr>
      <w:r w:rsidRPr="00844C95">
        <w:rPr>
          <w:lang w:val="ru-RU"/>
        </w:rPr>
        <w:t>Комисија за прописе, представке и предлоге.</w:t>
      </w:r>
    </w:p>
    <w:p w:rsidR="00D55EFE" w:rsidRPr="00844C95" w:rsidRDefault="00D55EFE" w:rsidP="00D55EFE">
      <w:pPr>
        <w:pStyle w:val="ListBullet2"/>
        <w:rPr>
          <w:lang w:val="ru-RU"/>
        </w:rPr>
      </w:pPr>
      <w:r w:rsidRPr="00844C95">
        <w:rPr>
          <w:lang w:val="ru-RU"/>
        </w:rPr>
        <w:t xml:space="preserve">Савет за развој, финансије, привреду, </w:t>
      </w:r>
      <w:r w:rsidRPr="00844C95">
        <w:t> </w:t>
      </w:r>
      <w:r w:rsidRPr="00844C95">
        <w:rPr>
          <w:lang w:val="ru-RU"/>
        </w:rPr>
        <w:t>пољопривреду и јавне службе,</w:t>
      </w:r>
    </w:p>
    <w:p w:rsidR="00D55EFE" w:rsidRPr="00844C95" w:rsidRDefault="00D55EFE" w:rsidP="00D55EFE">
      <w:pPr>
        <w:pStyle w:val="ListBullet2"/>
      </w:pPr>
      <w:r w:rsidRPr="00844C95">
        <w:t xml:space="preserve">Савет за месну самоуправу </w:t>
      </w:r>
    </w:p>
    <w:p w:rsidR="00D55EFE" w:rsidRPr="00844C95" w:rsidRDefault="00D55EFE" w:rsidP="00D55EFE">
      <w:pPr>
        <w:pStyle w:val="ListBullet2"/>
        <w:rPr>
          <w:lang w:val="ru-RU"/>
        </w:rPr>
      </w:pPr>
      <w:r w:rsidRPr="00844C95">
        <w:rPr>
          <w:lang w:val="ru-RU"/>
        </w:rPr>
        <w:t>Савет за омладину, спорт, културу</w:t>
      </w:r>
      <w:r w:rsidRPr="00844C95">
        <w:t> </w:t>
      </w:r>
      <w:r w:rsidRPr="00844C95">
        <w:rPr>
          <w:lang w:val="ru-RU"/>
        </w:rPr>
        <w:t xml:space="preserve"> и верска питања</w:t>
      </w:r>
    </w:p>
    <w:p w:rsidR="00D55EFE" w:rsidRPr="00844C95" w:rsidRDefault="00D55EFE" w:rsidP="00D55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Општинско веће чине: Председник Општине, заменик председника Општине, као и 5 чланова Општинског већа.</w:t>
      </w: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Буџет  општине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Га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844C95">
        <w:rPr>
          <w:rFonts w:ascii="Times New Roman" w:hAnsi="Times New Roman" w:cs="Times New Roman"/>
          <w:sz w:val="24"/>
          <w:szCs w:val="24"/>
        </w:rPr>
        <w:t>ин Хан у последњих неколико година се кретао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је приказано посредством следеће табеле:</w:t>
      </w:r>
    </w:p>
    <w:tbl>
      <w:tblPr>
        <w:tblW w:w="9685" w:type="dxa"/>
        <w:tblInd w:w="-27" w:type="dxa"/>
        <w:tblLayout w:type="fixed"/>
        <w:tblLook w:val="0000"/>
      </w:tblPr>
      <w:tblGrid>
        <w:gridCol w:w="1389"/>
        <w:gridCol w:w="3507"/>
        <w:gridCol w:w="4550"/>
        <w:gridCol w:w="239"/>
      </w:tblGrid>
      <w:tr w:rsidR="00D55EFE" w:rsidRPr="00844C95" w:rsidTr="00002275">
        <w:trPr>
          <w:trHeight w:val="494"/>
        </w:trPr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Година</w:t>
            </w:r>
          </w:p>
        </w:tc>
        <w:tc>
          <w:tcPr>
            <w:tcW w:w="35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Укупан општински приход</w:t>
            </w:r>
          </w:p>
        </w:tc>
        <w:tc>
          <w:tcPr>
            <w:tcW w:w="45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Укупан општински расход</w:t>
            </w:r>
          </w:p>
        </w:tc>
        <w:tc>
          <w:tcPr>
            <w:tcW w:w="2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FE" w:rsidRPr="00844C95" w:rsidTr="00002275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149320000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150065000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FE" w:rsidRPr="00844C95" w:rsidTr="00002275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2010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163468000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157249000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FE" w:rsidRPr="00844C95" w:rsidTr="00002275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166559881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167603590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FE" w:rsidRPr="00844C95" w:rsidTr="00002275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200279000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201713000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EFE" w:rsidRPr="00844C95" w:rsidTr="00002275">
        <w:trPr>
          <w:trHeight w:val="450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201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302740000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295622000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EFE" w:rsidRPr="00844C95" w:rsidTr="00002275">
        <w:trPr>
          <w:trHeight w:val="450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EB36B3" w:rsidRDefault="00D55EFE" w:rsidP="0000227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935C2F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261948000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935C2F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251227000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EFE" w:rsidRPr="00844C95" w:rsidTr="00002275">
        <w:trPr>
          <w:trHeight w:val="450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D55EFE" w:rsidRPr="002317EF" w:rsidRDefault="00D55EFE" w:rsidP="0000227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55EFE" w:rsidRPr="002317EF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303167000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55EFE" w:rsidRPr="002317EF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285804000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55EFE" w:rsidRPr="00844C95" w:rsidRDefault="00D55EFE" w:rsidP="00D55EFE">
      <w:p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Извор: Локална самоуправа</w:t>
      </w:r>
      <w:r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</w:rPr>
        <w:t>6</w:t>
      </w:r>
      <w:r w:rsidRPr="00844C95">
        <w:rPr>
          <w:rFonts w:ascii="Times New Roman" w:hAnsi="Times New Roman" w:cs="Times New Roman"/>
          <w:lang w:val="sr-Cyrl-CS"/>
        </w:rPr>
        <w:t>. год.</w:t>
      </w:r>
    </w:p>
    <w:p w:rsidR="00D55EFE" w:rsidRPr="00844C95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Heading3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Интернет презентација</w:t>
      </w: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 xml:space="preserve">Општина Гаџин Хан има своју званичну Интернет презентацију на адреси: </w:t>
      </w:r>
      <w:hyperlink r:id="rId9" w:history="1">
        <w:r w:rsidRPr="00844C95">
          <w:rPr>
            <w:rStyle w:val="Hyperlink"/>
            <w:rFonts w:ascii="Times New Roman" w:hAnsi="Times New Roman" w:cs="Times New Roman"/>
          </w:rPr>
          <w:t>www</w:t>
        </w:r>
        <w:r w:rsidRPr="00844C95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44C95">
          <w:rPr>
            <w:rStyle w:val="Hyperlink"/>
            <w:rFonts w:ascii="Times New Roman" w:hAnsi="Times New Roman" w:cs="Times New Roman"/>
          </w:rPr>
          <w:t>gadzinhan</w:t>
        </w:r>
        <w:r w:rsidRPr="00844C95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44C95">
          <w:rPr>
            <w:rStyle w:val="Hyperlink"/>
            <w:rFonts w:ascii="Times New Roman" w:hAnsi="Times New Roman" w:cs="Times New Roman"/>
          </w:rPr>
          <w:t>rs</w:t>
        </w:r>
      </w:hyperlink>
      <w:r w:rsidRPr="00844C95">
        <w:rPr>
          <w:rFonts w:ascii="Times New Roman" w:hAnsi="Times New Roman" w:cs="Times New Roman"/>
        </w:rPr>
        <w:t xml:space="preserve">. </w:t>
      </w:r>
      <w:proofErr w:type="gramStart"/>
      <w:r w:rsidRPr="00844C95">
        <w:rPr>
          <w:rFonts w:ascii="Times New Roman" w:hAnsi="Times New Roman" w:cs="Times New Roman"/>
        </w:rPr>
        <w:t xml:space="preserve">На њој се могу наћи основни подаци о самој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пштини, локалној самоуправи, привреди, јавним предузећима и установама, култури, образовању, и др.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 xml:space="preserve">На презентацији се могу наћи и најновије вести од значаја за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пштину и преузети релевантни документи, а пре свега Статут општине и</w:t>
      </w:r>
      <w:r w:rsidRPr="00844C95">
        <w:rPr>
          <w:rFonts w:ascii="Times New Roman" w:hAnsi="Times New Roman" w:cs="Times New Roman"/>
          <w:lang w:val="sr-Cyrl-CS"/>
        </w:rPr>
        <w:t xml:space="preserve"> буџет.</w:t>
      </w:r>
      <w:proofErr w:type="gramEnd"/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</w:rPr>
      </w:pPr>
    </w:p>
    <w:p w:rsidR="00D55EFE" w:rsidRPr="00844C95" w:rsidRDefault="00D55EFE" w:rsidP="00D55EF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</w:rPr>
        <w:t>Економски развој</w:t>
      </w:r>
    </w:p>
    <w:p w:rsidR="00D55EFE" w:rsidRPr="00844C95" w:rsidRDefault="00D55EFE" w:rsidP="00D55EFE">
      <w:pPr>
        <w:rPr>
          <w:rFonts w:ascii="Times New Roman" w:hAnsi="Times New Roman" w:cs="Times New Roman"/>
          <w:lang w:val="sl-SI"/>
        </w:rPr>
      </w:pP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Економски развој општине Гаџин Хан првенствено је базиран на развој</w:t>
      </w:r>
      <w:r w:rsidRPr="00844C95">
        <w:rPr>
          <w:rFonts w:ascii="Times New Roman" w:hAnsi="Times New Roman" w:cs="Times New Roman"/>
          <w:lang w:val="sr-Cyrl-CS"/>
        </w:rPr>
        <w:t>у</w:t>
      </w:r>
      <w:r w:rsidRPr="00844C95">
        <w:rPr>
          <w:rFonts w:ascii="Times New Roman" w:hAnsi="Times New Roman" w:cs="Times New Roman"/>
        </w:rPr>
        <w:t xml:space="preserve"> МСП и предузетништва у области пољопривреде, туризма и прерађивачке делатности.</w:t>
      </w:r>
      <w:proofErr w:type="gramEnd"/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Latn-CS"/>
        </w:rPr>
      </w:pPr>
      <w:proofErr w:type="gramStart"/>
      <w:r w:rsidRPr="00844C95">
        <w:rPr>
          <w:rFonts w:ascii="Times New Roman" w:hAnsi="Times New Roman" w:cs="Times New Roman"/>
        </w:rPr>
        <w:t>Иако подаци о уделу појединих сектора посматрано према броју запослених показују да је највећи број запослен у прерађивачкој индустрији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>мора</w:t>
      </w:r>
      <w:r w:rsidRPr="00844C95">
        <w:rPr>
          <w:rFonts w:ascii="Times New Roman" w:hAnsi="Times New Roman" w:cs="Times New Roman"/>
          <w:lang w:val="sr-Cyrl-CS"/>
        </w:rPr>
        <w:t xml:space="preserve"> се </w:t>
      </w:r>
      <w:r w:rsidRPr="00844C95">
        <w:rPr>
          <w:rFonts w:ascii="Times New Roman" w:hAnsi="Times New Roman" w:cs="Times New Roman"/>
          <w:lang w:val="sr-Latn-CS"/>
        </w:rPr>
        <w:t>узети у обзир да су ово подаци само о привредним друштвима.</w:t>
      </w:r>
      <w:proofErr w:type="gramEnd"/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 xml:space="preserve">Број регистрованих сеоских газдинстава овде није узет у обзир. Такође није узет у обзир </w:t>
      </w:r>
      <w:r w:rsidRPr="00844C95">
        <w:rPr>
          <w:rFonts w:ascii="Times New Roman" w:hAnsi="Times New Roman" w:cs="Times New Roman"/>
          <w:lang w:val="sr-Cyrl-CS"/>
        </w:rPr>
        <w:t xml:space="preserve">ни </w:t>
      </w:r>
      <w:r w:rsidRPr="00844C95">
        <w:rPr>
          <w:rFonts w:ascii="Times New Roman" w:hAnsi="Times New Roman" w:cs="Times New Roman"/>
          <w:lang w:val="sr-Latn-CS"/>
        </w:rPr>
        <w:t>број власника самосталних занатских радњи</w:t>
      </w:r>
      <w:r w:rsidRPr="00844C95">
        <w:rPr>
          <w:rFonts w:ascii="Times New Roman" w:hAnsi="Times New Roman" w:cs="Times New Roman"/>
          <w:lang w:val="sr-Cyrl-CS"/>
        </w:rPr>
        <w:t xml:space="preserve">, као </w:t>
      </w:r>
      <w:r w:rsidRPr="00844C95">
        <w:rPr>
          <w:rFonts w:ascii="Times New Roman" w:hAnsi="Times New Roman" w:cs="Times New Roman"/>
          <w:lang w:val="sr-Latn-CS"/>
        </w:rPr>
        <w:t>и њихови запослени.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 xml:space="preserve">Када се ови подаци узму у обзир, дати индикатор се односи </w:t>
      </w:r>
      <w:r w:rsidRPr="00844C95">
        <w:rPr>
          <w:rFonts w:ascii="Times New Roman" w:hAnsi="Times New Roman" w:cs="Times New Roman"/>
          <w:lang w:val="sr-Cyrl-CS"/>
        </w:rPr>
        <w:t xml:space="preserve">само </w:t>
      </w:r>
      <w:r w:rsidRPr="00844C95">
        <w:rPr>
          <w:rFonts w:ascii="Times New Roman" w:hAnsi="Times New Roman" w:cs="Times New Roman"/>
          <w:lang w:val="sr-Latn-CS"/>
        </w:rPr>
        <w:t>на укупно 37,40% запослених.</w:t>
      </w: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</w:rPr>
        <w:t>62</w:t>
      </w:r>
      <w:proofErr w:type="gramStart"/>
      <w:r w:rsidRPr="00844C95">
        <w:rPr>
          <w:rFonts w:ascii="Times New Roman" w:hAnsi="Times New Roman" w:cs="Times New Roman"/>
          <w:b/>
        </w:rPr>
        <w:t>,60</w:t>
      </w:r>
      <w:proofErr w:type="gramEnd"/>
      <w:r w:rsidRPr="00844C95">
        <w:rPr>
          <w:rFonts w:ascii="Times New Roman" w:hAnsi="Times New Roman" w:cs="Times New Roman"/>
          <w:b/>
        </w:rPr>
        <w:t>% запослених ради као приватни предузетници или су код њих запослени.</w:t>
      </w: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Структура сектора приватних предузетника показује да се они претежно баве услужним делатностима и да имају велику флексибилност ка тржишним променама.</w:t>
      </w:r>
      <w:proofErr w:type="gramEnd"/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 xml:space="preserve">На основу ових показатеља </w:t>
      </w:r>
      <w:r w:rsidRPr="00844C95">
        <w:rPr>
          <w:rFonts w:ascii="Times New Roman" w:hAnsi="Times New Roman" w:cs="Times New Roman"/>
          <w:lang w:val="sr-Cyrl-CS"/>
        </w:rPr>
        <w:t xml:space="preserve">види се </w:t>
      </w:r>
      <w:r w:rsidRPr="00844C95">
        <w:rPr>
          <w:rFonts w:ascii="Times New Roman" w:hAnsi="Times New Roman" w:cs="Times New Roman"/>
        </w:rPr>
        <w:t>да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</w:rPr>
        <w:t xml:space="preserve"> иако просечна бруто зарада показује номинали раст, када се упореди са Републичким просеком показуј</w:t>
      </w:r>
      <w:r w:rsidRPr="00844C95">
        <w:rPr>
          <w:rFonts w:ascii="Times New Roman" w:hAnsi="Times New Roman" w:cs="Times New Roman"/>
          <w:lang w:val="sr-Cyrl-CS"/>
        </w:rPr>
        <w:t>у</w:t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lang w:val="sr-Cyrl-CS"/>
        </w:rPr>
        <w:t xml:space="preserve">се </w:t>
      </w:r>
      <w:r w:rsidRPr="00844C95">
        <w:rPr>
          <w:rFonts w:ascii="Times New Roman" w:hAnsi="Times New Roman" w:cs="Times New Roman"/>
        </w:rPr>
        <w:t>велике осцилације.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>Велики пад је био 2004</w:t>
      </w:r>
      <w:r w:rsidRPr="00844C95">
        <w:rPr>
          <w:rFonts w:ascii="Times New Roman" w:hAnsi="Times New Roman" w:cs="Times New Roman"/>
          <w:lang w:val="sr-Cyrl-CS"/>
        </w:rPr>
        <w:t>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>године</w:t>
      </w:r>
      <w:proofErr w:type="gramEnd"/>
      <w:r w:rsidRPr="00844C95">
        <w:rPr>
          <w:rFonts w:ascii="Times New Roman" w:hAnsi="Times New Roman" w:cs="Times New Roman"/>
        </w:rPr>
        <w:t xml:space="preserve"> када је</w:t>
      </w:r>
      <w:r w:rsidRPr="00844C95">
        <w:rPr>
          <w:rFonts w:ascii="Times New Roman" w:hAnsi="Times New Roman" w:cs="Times New Roman"/>
          <w:lang w:val="sr-Cyrl-CS"/>
        </w:rPr>
        <w:t xml:space="preserve"> са </w:t>
      </w:r>
      <w:r w:rsidRPr="00844C95">
        <w:rPr>
          <w:rFonts w:ascii="Times New Roman" w:hAnsi="Times New Roman" w:cs="Times New Roman"/>
        </w:rPr>
        <w:t xml:space="preserve"> 62,51%</w:t>
      </w:r>
      <w:r w:rsidRPr="00844C95">
        <w:rPr>
          <w:rFonts w:ascii="Times New Roman" w:hAnsi="Times New Roman" w:cs="Times New Roman"/>
          <w:lang w:val="sr-Cyrl-CS"/>
        </w:rPr>
        <w:t xml:space="preserve"> она </w:t>
      </w:r>
      <w:r w:rsidRPr="00844C95">
        <w:rPr>
          <w:rFonts w:ascii="Times New Roman" w:hAnsi="Times New Roman" w:cs="Times New Roman"/>
        </w:rPr>
        <w:t xml:space="preserve">пала на свега 52,86%. </w:t>
      </w:r>
      <w:proofErr w:type="gramStart"/>
      <w:r w:rsidRPr="00844C95">
        <w:rPr>
          <w:rFonts w:ascii="Times New Roman" w:hAnsi="Times New Roman" w:cs="Times New Roman"/>
        </w:rPr>
        <w:t xml:space="preserve">Ово је била последица транзиције и приватизације појединих друштвених предузећа која је довела како до отпуштања радне снаге, </w:t>
      </w:r>
      <w:r w:rsidRPr="00844C95">
        <w:rPr>
          <w:rFonts w:ascii="Times New Roman" w:hAnsi="Times New Roman" w:cs="Times New Roman"/>
          <w:lang w:val="sr-Cyrl-CS"/>
        </w:rPr>
        <w:t xml:space="preserve">а тиме </w:t>
      </w:r>
      <w:r w:rsidRPr="00844C95">
        <w:rPr>
          <w:rFonts w:ascii="Times New Roman" w:hAnsi="Times New Roman" w:cs="Times New Roman"/>
        </w:rPr>
        <w:t xml:space="preserve">и до смањења </w:t>
      </w:r>
      <w:r w:rsidRPr="00844C95">
        <w:rPr>
          <w:rFonts w:ascii="Times New Roman" w:hAnsi="Times New Roman" w:cs="Times New Roman"/>
          <w:lang w:val="sr-Cyrl-CS"/>
        </w:rPr>
        <w:t xml:space="preserve">укупних </w:t>
      </w:r>
      <w:r w:rsidRPr="00844C95">
        <w:rPr>
          <w:rFonts w:ascii="Times New Roman" w:hAnsi="Times New Roman" w:cs="Times New Roman"/>
        </w:rPr>
        <w:t>зарада.</w:t>
      </w:r>
      <w:proofErr w:type="gramEnd"/>
      <w:r w:rsidRPr="00844C95">
        <w:rPr>
          <w:rFonts w:ascii="Times New Roman" w:hAnsi="Times New Roman" w:cs="Times New Roman"/>
          <w:lang w:val="sr-Cyrl-CS"/>
        </w:rPr>
        <w:t xml:space="preserve"> </w:t>
      </w:r>
    </w:p>
    <w:p w:rsidR="00D55EFE" w:rsidRPr="00A24CAF" w:rsidRDefault="00D55EFE" w:rsidP="00D55EFE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  <w:lang w:val="sr-Cyrl-CS"/>
        </w:rPr>
        <w:t>На подручју општ</w:t>
      </w:r>
      <w:r>
        <w:rPr>
          <w:rFonts w:ascii="Times New Roman" w:hAnsi="Times New Roman" w:cs="Times New Roman"/>
          <w:lang w:val="sr-Cyrl-CS"/>
        </w:rPr>
        <w:t xml:space="preserve">ине Гаџин Хан регистровано је </w:t>
      </w:r>
      <w:r>
        <w:rPr>
          <w:rFonts w:ascii="Times New Roman" w:hAnsi="Times New Roman" w:cs="Times New Roman"/>
        </w:rPr>
        <w:t>197</w:t>
      </w:r>
      <w:r>
        <w:rPr>
          <w:rFonts w:ascii="Times New Roman" w:hAnsi="Times New Roman" w:cs="Times New Roman"/>
          <w:lang w:val="sr-Cyrl-CS"/>
        </w:rPr>
        <w:t xml:space="preserve"> приватних предузећа и </w:t>
      </w:r>
      <w:r>
        <w:rPr>
          <w:rFonts w:ascii="Times New Roman" w:hAnsi="Times New Roman" w:cs="Times New Roman"/>
        </w:rPr>
        <w:t>397</w:t>
      </w:r>
      <w:r>
        <w:rPr>
          <w:rFonts w:ascii="Times New Roman" w:hAnsi="Times New Roman" w:cs="Times New Roman"/>
          <w:lang w:val="sr-Cyrl-CS"/>
        </w:rPr>
        <w:t xml:space="preserve"> радњи</w:t>
      </w:r>
      <w:r>
        <w:rPr>
          <w:rFonts w:ascii="Times New Roman" w:hAnsi="Times New Roman" w:cs="Times New Roman"/>
        </w:rPr>
        <w:t>.</w:t>
      </w:r>
    </w:p>
    <w:p w:rsidR="00D55EFE" w:rsidRPr="00844C95" w:rsidRDefault="00D55EFE" w:rsidP="00D55EFE">
      <w:pPr>
        <w:pStyle w:val="NormalWeb"/>
        <w:spacing w:before="0" w:after="0"/>
        <w:jc w:val="both"/>
        <w:rPr>
          <w:sz w:val="22"/>
          <w:szCs w:val="22"/>
          <w:lang w:val="hr-HR"/>
        </w:rPr>
      </w:pPr>
      <w:r w:rsidRPr="00844C95">
        <w:rPr>
          <w:sz w:val="22"/>
          <w:szCs w:val="22"/>
          <w:lang w:val="de-DE"/>
        </w:rPr>
        <w:t xml:space="preserve">Међутим, </w:t>
      </w:r>
      <w:r w:rsidRPr="00844C95">
        <w:rPr>
          <w:sz w:val="22"/>
          <w:szCs w:val="22"/>
          <w:lang w:val="hr-HR"/>
        </w:rPr>
        <w:t xml:space="preserve">разменом искустава са најразличитијим профилом интересних субјеката, постигнута је општа сагласност да су заправо природна добра којима располаже овај простор главни адут око кога ће се догађати надолазећи развојни и инвестицијски процес. Та природна добра до сада нису ни пољопривредно ни туристички вреднована нити значајније експлоатисана. То се није догодило мање због тржишних, а више због општих политичких ограничења у којима се </w:t>
      </w:r>
      <w:r w:rsidRPr="00844C95">
        <w:rPr>
          <w:sz w:val="22"/>
          <w:szCs w:val="22"/>
          <w:lang w:val="sr-Cyrl-CS"/>
        </w:rPr>
        <w:t>о</w:t>
      </w:r>
      <w:r w:rsidRPr="00844C95">
        <w:rPr>
          <w:sz w:val="22"/>
          <w:szCs w:val="22"/>
          <w:lang w:val="hr-HR"/>
        </w:rPr>
        <w:t xml:space="preserve">пштина нашла у </w:t>
      </w:r>
      <w:r w:rsidRPr="00844C95">
        <w:rPr>
          <w:sz w:val="22"/>
          <w:szCs w:val="22"/>
          <w:lang w:val="sr-Cyrl-CS"/>
        </w:rPr>
        <w:t>последњих</w:t>
      </w:r>
      <w:r w:rsidRPr="00844C95">
        <w:rPr>
          <w:sz w:val="22"/>
          <w:szCs w:val="22"/>
          <w:lang w:val="hr-HR"/>
        </w:rPr>
        <w:t xml:space="preserve"> двадесетак година.</w:t>
      </w:r>
    </w:p>
    <w:p w:rsidR="00D55EFE" w:rsidRPr="00844C95" w:rsidRDefault="00D55EFE" w:rsidP="00D55EFE">
      <w:pPr>
        <w:pStyle w:val="NormalWeb"/>
        <w:spacing w:before="0" w:after="0"/>
        <w:jc w:val="both"/>
        <w:rPr>
          <w:sz w:val="22"/>
          <w:szCs w:val="22"/>
          <w:lang w:val="sr-Cyrl-CS"/>
        </w:rPr>
      </w:pPr>
      <w:r w:rsidRPr="00844C95">
        <w:rPr>
          <w:sz w:val="22"/>
          <w:szCs w:val="22"/>
          <w:lang w:val="hr-HR"/>
        </w:rPr>
        <w:t xml:space="preserve">Не треба сметнути с ума </w:t>
      </w:r>
      <w:r w:rsidRPr="00844C95">
        <w:rPr>
          <w:sz w:val="22"/>
          <w:szCs w:val="22"/>
          <w:lang w:val="sr-Cyrl-CS"/>
        </w:rPr>
        <w:t>н</w:t>
      </w:r>
      <w:r w:rsidRPr="00844C95">
        <w:rPr>
          <w:sz w:val="22"/>
          <w:szCs w:val="22"/>
          <w:lang w:val="hr-HR"/>
        </w:rPr>
        <w:t xml:space="preserve">и чињеницу да </w:t>
      </w:r>
      <w:r w:rsidRPr="00844C95">
        <w:rPr>
          <w:sz w:val="22"/>
          <w:szCs w:val="22"/>
          <w:lang w:val="sr-Cyrl-CS"/>
        </w:rPr>
        <w:t xml:space="preserve">се </w:t>
      </w:r>
      <w:r w:rsidRPr="00844C95">
        <w:rPr>
          <w:sz w:val="22"/>
          <w:szCs w:val="22"/>
          <w:lang w:val="hr-HR"/>
        </w:rPr>
        <w:t>у последњих пет до шест година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када су се у Србији отворили озбиљнији инвестициони процеси на пољу пољопривреде и туризма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није појавио/појавили јаки субјекти с претензијама ширења и развоја значајније пољопривредне, туристичке и/или хотелске структуре</w:t>
      </w:r>
      <w:r w:rsidRPr="00844C95">
        <w:rPr>
          <w:sz w:val="22"/>
          <w:szCs w:val="22"/>
          <w:lang w:val="sr-Cyrl-CS"/>
        </w:rPr>
        <w:t xml:space="preserve"> у општини</w:t>
      </w:r>
      <w:r w:rsidRPr="00844C95">
        <w:rPr>
          <w:sz w:val="22"/>
          <w:szCs w:val="22"/>
          <w:lang w:val="hr-HR"/>
        </w:rPr>
        <w:t xml:space="preserve">. </w:t>
      </w:r>
      <w:r w:rsidRPr="00844C95">
        <w:rPr>
          <w:sz w:val="22"/>
          <w:szCs w:val="22"/>
          <w:lang w:val="sr-Cyrl-CS"/>
        </w:rPr>
        <w:t xml:space="preserve">Интерес постоји само на пољу </w:t>
      </w:r>
      <w:r w:rsidRPr="00844C95">
        <w:rPr>
          <w:sz w:val="22"/>
          <w:szCs w:val="22"/>
          <w:lang w:val="hr-HR"/>
        </w:rPr>
        <w:t xml:space="preserve">некретнина, а с обзиром да су земљишта и некретнине још увек јефтине, дошло </w:t>
      </w:r>
      <w:r w:rsidRPr="00844C95">
        <w:rPr>
          <w:sz w:val="22"/>
          <w:szCs w:val="22"/>
          <w:lang w:val="sr-Cyrl-CS"/>
        </w:rPr>
        <w:t xml:space="preserve">је </w:t>
      </w:r>
      <w:r w:rsidRPr="00844C95">
        <w:rPr>
          <w:sz w:val="22"/>
          <w:szCs w:val="22"/>
          <w:lang w:val="hr-HR"/>
        </w:rPr>
        <w:t>до одређених мањих активности, које међутим не могу битније пореметити стабилност тржишта. Према томе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на овом подручју, као уосталом у Србији у целини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нема значајнијих </w:t>
      </w:r>
      <w:r w:rsidRPr="00844C95">
        <w:rPr>
          <w:sz w:val="22"/>
          <w:szCs w:val="22"/>
          <w:lang w:val="sr-Cyrl-CS"/>
        </w:rPr>
        <w:t xml:space="preserve">МСПП, како </w:t>
      </w:r>
      <w:r w:rsidRPr="00844C95">
        <w:rPr>
          <w:sz w:val="22"/>
          <w:szCs w:val="22"/>
          <w:lang w:val="hr-HR"/>
        </w:rPr>
        <w:t xml:space="preserve">у пољопривреди </w:t>
      </w:r>
      <w:r w:rsidRPr="00844C95">
        <w:rPr>
          <w:sz w:val="22"/>
          <w:szCs w:val="22"/>
          <w:lang w:val="sr-Cyrl-CS"/>
        </w:rPr>
        <w:t>тако и у ту</w:t>
      </w:r>
      <w:r w:rsidRPr="00844C95">
        <w:rPr>
          <w:sz w:val="22"/>
          <w:szCs w:val="22"/>
          <w:lang w:val="hr-HR"/>
        </w:rPr>
        <w:t>ризму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који би могли покренути развој овог подручја</w:t>
      </w:r>
      <w:r w:rsidRPr="00844C95">
        <w:rPr>
          <w:sz w:val="22"/>
          <w:szCs w:val="22"/>
          <w:lang w:val="sr-Cyrl-CS"/>
        </w:rPr>
        <w:t>.</w:t>
      </w: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Од институционалне подршке сектору малих и средњих предузећа све присутне институције су републичког или регионалног карактера. Од значајних регионалних институција територију општине Гаџин Хан покривају следеће институције са седиштем у Нишу:</w:t>
      </w:r>
    </w:p>
    <w:p w:rsidR="00D55EFE" w:rsidRPr="00844C95" w:rsidRDefault="00D55EFE" w:rsidP="00D55EFE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Регионална агенција за развој МСП и предузетништва – ова агенција је део Републичке мреже за подршку сектору МСПП. Она пружа директне услуге МСПП сектору и то у следећим областима: информисање, консалтинг, едукација, промоција и др.</w:t>
      </w:r>
    </w:p>
    <w:p w:rsidR="00D55EFE" w:rsidRPr="00844C95" w:rsidRDefault="00D55EFE" w:rsidP="00D55EFE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Регионална привредна комора Ниш – она је део коморског система Србије.</w:t>
      </w: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Пољопривреда</w:t>
      </w: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b/>
          <w:lang w:val="sr-Cyrl-CS"/>
        </w:rPr>
      </w:pPr>
    </w:p>
    <w:p w:rsidR="00D55EFE" w:rsidRPr="00844C95" w:rsidRDefault="00D55EFE" w:rsidP="00D55EFE"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 w:rsidRPr="00844C95">
        <w:rPr>
          <w:sz w:val="22"/>
          <w:szCs w:val="22"/>
          <w:lang w:val="ru-RU"/>
        </w:rPr>
        <w:t>Подручје општине Гаџин Хан према квалитету земљишта и климатских услова погодно је за развој пољопривреде, а посебно за гајење јагодичастог воћа (јагода, малина, купина и вишања), кукуруза, ситнолиснатог дувана, а посебне услове има за развој сточарства, јер 37,2% укупног пољопривредног земљишта је под ливадама и пашњацима. Значајно је напоменути да је Сува планина, која већинским делом припада подручју општине Гаџин Хан, имала највећи број оваца у старој Југославији.</w:t>
      </w:r>
    </w:p>
    <w:p w:rsidR="00D55EFE" w:rsidRPr="00844C95" w:rsidRDefault="00D55EFE" w:rsidP="00D55EFE">
      <w:pPr>
        <w:pStyle w:val="NormalWeb"/>
        <w:spacing w:before="0" w:after="0"/>
        <w:jc w:val="both"/>
        <w:rPr>
          <w:sz w:val="22"/>
          <w:szCs w:val="22"/>
          <w:lang w:val="ru-RU"/>
        </w:rPr>
      </w:pP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Укупна повр</w:t>
      </w:r>
      <w:r w:rsidRPr="00844C95">
        <w:rPr>
          <w:rFonts w:ascii="Times New Roman" w:hAnsi="Times New Roman" w:cs="Times New Roman"/>
          <w:lang w:val="sr-Latn-CS"/>
        </w:rPr>
        <w:t>шина територије општине Гаџин Хан износи 325 км</w:t>
      </w:r>
      <w:r w:rsidRPr="00844C95">
        <w:rPr>
          <w:rFonts w:ascii="Times New Roman" w:hAnsi="Times New Roman" w:cs="Times New Roman"/>
          <w:vertAlign w:val="superscript"/>
          <w:lang w:val="sr-Latn-CS"/>
        </w:rPr>
        <w:t>2</w:t>
      </w:r>
      <w:r w:rsidRPr="00844C95">
        <w:rPr>
          <w:rFonts w:ascii="Times New Roman" w:hAnsi="Times New Roman" w:cs="Times New Roman"/>
          <w:lang w:val="sr-Latn-CS"/>
        </w:rPr>
        <w:t xml:space="preserve"> </w:t>
      </w:r>
      <w:r w:rsidRPr="00844C95">
        <w:rPr>
          <w:rFonts w:ascii="Times New Roman" w:hAnsi="Times New Roman" w:cs="Times New Roman"/>
          <w:lang w:val="ru-RU"/>
        </w:rPr>
        <w:t xml:space="preserve">од чега на пољопривредну површину отпада 18.201 </w:t>
      </w:r>
      <w:hyperlink r:id="rId10" w:history="1">
        <w:r w:rsidRPr="00844C95">
          <w:rPr>
            <w:rStyle w:val="Hyperlink"/>
            <w:rFonts w:ascii="Times New Roman" w:hAnsi="Times New Roman" w:cs="Times New Roman"/>
            <w:lang w:val="ru-RU"/>
          </w:rPr>
          <w:t>ха</w:t>
        </w:r>
      </w:hyperlink>
      <w:r w:rsidRPr="00844C95">
        <w:rPr>
          <w:rFonts w:ascii="Times New Roman" w:hAnsi="Times New Roman" w:cs="Times New Roman"/>
          <w:lang w:val="ru-RU"/>
        </w:rPr>
        <w:t>, а на шумску 10.610 ха</w:t>
      </w:r>
      <w:r w:rsidRPr="00844C95">
        <w:rPr>
          <w:rFonts w:ascii="Times New Roman" w:hAnsi="Times New Roman" w:cs="Times New Roman"/>
          <w:lang w:val="sr-Latn-CS"/>
        </w:rPr>
        <w:t>.</w:t>
      </w:r>
      <w:proofErr w:type="gramEnd"/>
      <w:r w:rsidRPr="00844C95">
        <w:rPr>
          <w:rFonts w:ascii="Times New Roman" w:hAnsi="Times New Roman" w:cs="Times New Roman"/>
          <w:lang w:val="sr-Latn-CS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 xml:space="preserve">По подацима Републичког завода за статистику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пштина располаже са 17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>577 ха коришћених пољоприврених површина (пољопривредна друштва, задруге и породична газдинства).</w:t>
      </w:r>
      <w:proofErr w:type="gramEnd"/>
      <w:r w:rsidRPr="00844C95">
        <w:rPr>
          <w:rFonts w:ascii="Times New Roman" w:hAnsi="Times New Roman" w:cs="Times New Roman"/>
        </w:rPr>
        <w:t xml:space="preserve"> Од овог броја хектара у породичним газдинствима је 14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>816 ха, односно 84</w:t>
      </w:r>
      <w:proofErr w:type="gramStart"/>
      <w:r w:rsidRPr="00844C95">
        <w:rPr>
          <w:rFonts w:ascii="Times New Roman" w:hAnsi="Times New Roman" w:cs="Times New Roman"/>
        </w:rPr>
        <w:t>,30</w:t>
      </w:r>
      <w:proofErr w:type="gramEnd"/>
      <w:r w:rsidRPr="00844C95">
        <w:rPr>
          <w:rFonts w:ascii="Times New Roman" w:hAnsi="Times New Roman" w:cs="Times New Roman"/>
        </w:rPr>
        <w:t>% од укупно коришћених пољопривредних површина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Heading6"/>
        <w:rPr>
          <w:rFonts w:ascii="Times New Roman" w:hAnsi="Times New Roman" w:cs="Times New Roman"/>
          <w:color w:val="auto"/>
        </w:rPr>
      </w:pPr>
      <w:r w:rsidRPr="00844C95">
        <w:rPr>
          <w:rFonts w:ascii="Times New Roman" w:hAnsi="Times New Roman" w:cs="Times New Roman"/>
          <w:color w:val="auto"/>
        </w:rPr>
        <w:t>Структура коришћења пољопривредног земљишта</w:t>
      </w:r>
    </w:p>
    <w:tbl>
      <w:tblPr>
        <w:tblW w:w="0" w:type="auto"/>
        <w:tblInd w:w="-27" w:type="dxa"/>
        <w:tblLayout w:type="fixed"/>
        <w:tblLook w:val="0000"/>
      </w:tblPr>
      <w:tblGrid>
        <w:gridCol w:w="534"/>
        <w:gridCol w:w="992"/>
        <w:gridCol w:w="1519"/>
        <w:gridCol w:w="1222"/>
        <w:gridCol w:w="1154"/>
        <w:gridCol w:w="1329"/>
        <w:gridCol w:w="1110"/>
        <w:gridCol w:w="1272"/>
      </w:tblGrid>
      <w:tr w:rsidR="00D55EFE" w:rsidRPr="00844C95" w:rsidTr="00002275"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Жито</w:t>
            </w:r>
          </w:p>
        </w:tc>
        <w:tc>
          <w:tcPr>
            <w:tcW w:w="1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Повртарство</w:t>
            </w:r>
          </w:p>
        </w:tc>
        <w:tc>
          <w:tcPr>
            <w:tcW w:w="12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Крмно би</w:t>
            </w:r>
            <w:r w:rsidRPr="00844C95">
              <w:rPr>
                <w:rFonts w:ascii="Times New Roman" w:hAnsi="Times New Roman" w:cs="Times New Roman"/>
                <w:lang w:val="sr-Cyrl-CS"/>
              </w:rPr>
              <w:t>љ</w:t>
            </w:r>
            <w:r w:rsidRPr="00844C95">
              <w:rPr>
                <w:rFonts w:ascii="Times New Roman" w:hAnsi="Times New Roman" w:cs="Times New Roman"/>
                <w:lang w:val="sl-SI"/>
              </w:rPr>
              <w:t>е</w:t>
            </w:r>
          </w:p>
        </w:tc>
        <w:tc>
          <w:tcPr>
            <w:tcW w:w="11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Воћњаци</w:t>
            </w:r>
          </w:p>
        </w:tc>
        <w:tc>
          <w:tcPr>
            <w:tcW w:w="13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Виногради</w:t>
            </w:r>
          </w:p>
        </w:tc>
        <w:tc>
          <w:tcPr>
            <w:tcW w:w="11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Ливаде</w:t>
            </w:r>
          </w:p>
        </w:tc>
        <w:tc>
          <w:tcPr>
            <w:tcW w:w="12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Пашњаци</w:t>
            </w:r>
          </w:p>
        </w:tc>
      </w:tr>
      <w:tr w:rsidR="00D55EFE" w:rsidRPr="00844C95" w:rsidTr="00002275"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837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168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419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200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029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4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959</w:t>
            </w:r>
          </w:p>
        </w:tc>
      </w:tr>
    </w:tbl>
    <w:p w:rsidR="00D55EFE" w:rsidRPr="00844C95" w:rsidRDefault="00D55EFE" w:rsidP="00D55EFE">
      <w:pPr>
        <w:jc w:val="center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noProof/>
        </w:rPr>
        <w:drawing>
          <wp:inline distT="0" distB="0" distL="0" distR="0">
            <wp:extent cx="4552950" cy="2105025"/>
            <wp:effectExtent l="0" t="0" r="0" b="0"/>
            <wp:docPr id="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Као што се из предходне табеле</w:t>
      </w:r>
      <w:r w:rsidRPr="00844C95">
        <w:rPr>
          <w:rFonts w:ascii="Times New Roman" w:hAnsi="Times New Roman" w:cs="Times New Roman"/>
          <w:lang w:val="sr-Cyrl-CS"/>
        </w:rPr>
        <w:t xml:space="preserve"> и графика</w:t>
      </w:r>
      <w:r w:rsidRPr="00844C95">
        <w:rPr>
          <w:rFonts w:ascii="Times New Roman" w:hAnsi="Times New Roman" w:cs="Times New Roman"/>
        </w:rPr>
        <w:t xml:space="preserve"> види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</w:rPr>
        <w:t xml:space="preserve"> највећи део пољопривредног земљишта се користи као пашњаци</w:t>
      </w:r>
      <w:r w:rsidRPr="00844C95">
        <w:rPr>
          <w:rFonts w:ascii="Times New Roman" w:hAnsi="Times New Roman" w:cs="Times New Roman"/>
          <w:lang w:val="sr-Cyrl-CS"/>
        </w:rPr>
        <w:t xml:space="preserve"> и за узгој жита</w:t>
      </w:r>
      <w:r w:rsidRPr="00844C95">
        <w:rPr>
          <w:rFonts w:ascii="Times New Roman" w:hAnsi="Times New Roman" w:cs="Times New Roman"/>
        </w:rPr>
        <w:t xml:space="preserve">, а затим </w:t>
      </w:r>
      <w:r w:rsidRPr="00844C95">
        <w:rPr>
          <w:rFonts w:ascii="Times New Roman" w:hAnsi="Times New Roman" w:cs="Times New Roman"/>
          <w:lang w:val="sr-Cyrl-CS"/>
        </w:rPr>
        <w:t>за крмно биље.</w:t>
      </w:r>
      <w:proofErr w:type="gramEnd"/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Већ на основу структуре коришћења земљишта јасно је да је сточарство доминантна пољопривредна делатност у општини Гаџин Хан</w:t>
      </w:r>
      <w:r w:rsidRPr="00844C95">
        <w:rPr>
          <w:rFonts w:ascii="Times New Roman" w:hAnsi="Times New Roman" w:cs="Times New Roman"/>
          <w:lang w:val="sr-Cyrl-CS"/>
        </w:rPr>
        <w:t>.</w:t>
      </w:r>
      <w:proofErr w:type="gramEnd"/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 xml:space="preserve">Сточарство је веома важна област пољопривреде, из које се добијају висококвалитетне животне намирнице и други производи, који представљају важне сировине за већи број индустријских </w:t>
      </w:r>
      <w:r w:rsidRPr="00844C95">
        <w:rPr>
          <w:rFonts w:ascii="Times New Roman" w:hAnsi="Times New Roman" w:cs="Times New Roman"/>
        </w:rPr>
        <w:lastRenderedPageBreak/>
        <w:t>грана и домаћу радиност (месо, млеко, јаја, маст, мед, сировине за индустрију одеће и обуће, вуна, кожа, крзно, перје итд.).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 xml:space="preserve">С друге стране, из сточарства се као споредни производ у биљну производњу враћа стајњак, веома битно средство за одржавање структуре и плодности земљишта.Што се сточарства тиче у општини Гаџин Хан подаци показују да је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 xml:space="preserve">пштина која је некада била лидер у сточарској производњи на републичком нивоу сада не може да достигне ни просек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круга.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</w:p>
    <w:p w:rsidR="00D55EFE" w:rsidRPr="00844C95" w:rsidRDefault="00D55EFE" w:rsidP="00D55EFE">
      <w:pPr>
        <w:pStyle w:val="Heading6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251"/>
        <w:gridCol w:w="2251"/>
        <w:gridCol w:w="2251"/>
        <w:gridCol w:w="2305"/>
      </w:tblGrid>
      <w:tr w:rsidR="00D55EFE" w:rsidRPr="00844C95" w:rsidTr="00002275">
        <w:tc>
          <w:tcPr>
            <w:tcW w:w="22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  <w:b/>
                <w:lang w:val="sl-SI"/>
              </w:rPr>
            </w:pPr>
          </w:p>
        </w:tc>
        <w:tc>
          <w:tcPr>
            <w:tcW w:w="22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Број говеда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  <w:tc>
          <w:tcPr>
            <w:tcW w:w="22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Број </w:t>
            </w:r>
            <w:r w:rsidRPr="00844C95">
              <w:rPr>
                <w:rFonts w:ascii="Times New Roman" w:hAnsi="Times New Roman" w:cs="Times New Roman"/>
                <w:lang w:val="sr-Cyrl-CS"/>
              </w:rPr>
              <w:t>свиња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  <w:tc>
          <w:tcPr>
            <w:tcW w:w="23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Број </w:t>
            </w:r>
            <w:r w:rsidRPr="00844C95">
              <w:rPr>
                <w:rFonts w:ascii="Times New Roman" w:hAnsi="Times New Roman" w:cs="Times New Roman"/>
                <w:lang w:val="sr-Cyrl-CS"/>
              </w:rPr>
              <w:t>оваца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</w:tr>
      <w:tr w:rsidR="00D55EFE" w:rsidRPr="00844C95" w:rsidTr="00002275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Република Србија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76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32</w:t>
            </w:r>
          </w:p>
        </w:tc>
      </w:tr>
      <w:tr w:rsidR="00D55EFE" w:rsidRPr="00844C95" w:rsidTr="00002275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Нишавски округ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55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18</w:t>
            </w:r>
          </w:p>
        </w:tc>
      </w:tr>
      <w:tr w:rsidR="00D55EFE" w:rsidRPr="00844C95" w:rsidTr="00002275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Општина Гаџин Хан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9</w:t>
            </w:r>
          </w:p>
        </w:tc>
      </w:tr>
    </w:tbl>
    <w:p w:rsidR="00D55EFE" w:rsidRPr="00844C95" w:rsidRDefault="00D55EFE" w:rsidP="00D55EFE">
      <w:pPr>
        <w:jc w:val="both"/>
        <w:rPr>
          <w:rFonts w:ascii="Times New Roman" w:hAnsi="Times New Roman" w:cs="Times New Roman"/>
        </w:rPr>
      </w:pPr>
    </w:p>
    <w:p w:rsidR="00D55EFE" w:rsidRPr="00844C95" w:rsidRDefault="00D55EFE" w:rsidP="00D55EFE">
      <w:pPr>
        <w:pStyle w:val="Heading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Туризам </w:t>
      </w:r>
    </w:p>
    <w:p w:rsidR="00D55EFE" w:rsidRPr="00844C95" w:rsidRDefault="00D55EFE" w:rsidP="00D55EFE">
      <w:pPr>
        <w:pStyle w:val="NormalWeb"/>
        <w:spacing w:before="0" w:after="60"/>
        <w:rPr>
          <w:rFonts w:eastAsiaTheme="minorHAnsi"/>
          <w:b/>
          <w:sz w:val="22"/>
          <w:szCs w:val="22"/>
          <w:lang w:val="sr-Cyrl-CS" w:eastAsia="en-US"/>
        </w:rPr>
      </w:pPr>
    </w:p>
    <w:p w:rsidR="00D55EFE" w:rsidRPr="00844C95" w:rsidRDefault="00D55EFE" w:rsidP="00D55EFE">
      <w:pPr>
        <w:pStyle w:val="NormalWeb"/>
        <w:spacing w:before="0" w:after="60"/>
        <w:rPr>
          <w:lang w:val="sr-Cyrl-CS"/>
        </w:rPr>
      </w:pPr>
      <w:r w:rsidRPr="00844C95">
        <w:rPr>
          <w:lang w:val="hr-HR"/>
        </w:rPr>
        <w:t>Основне карактеристике туристичког промета подручја Општине Гаџин Хан – Заплања</w:t>
      </w:r>
      <w:r w:rsidRPr="00844C95">
        <w:rPr>
          <w:lang w:val="sr-Cyrl-CS"/>
        </w:rPr>
        <w:t xml:space="preserve"> су следеће</w:t>
      </w:r>
      <w:r w:rsidRPr="00844C95">
        <w:rPr>
          <w:lang w:val="hr-HR"/>
        </w:rPr>
        <w:t>:</w:t>
      </w:r>
    </w:p>
    <w:p w:rsidR="00D55EFE" w:rsidRDefault="00D55EFE" w:rsidP="00D55EFE">
      <w:pPr>
        <w:pStyle w:val="NormalWeb"/>
        <w:numPr>
          <w:ilvl w:val="0"/>
          <w:numId w:val="9"/>
        </w:numPr>
        <w:spacing w:before="0" w:after="60"/>
        <w:rPr>
          <w:lang w:val="hr-H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pt;margin-top:45.25pt;width:374.1pt;height:241.05pt;z-index:251658240;mso-wrap-distance-left:7in;mso-wrap-distance-right:7in;mso-position-horizontal-relative:page" stroked="f">
            <v:fill opacity="0" color2="black"/>
            <v:textbox style="mso-next-textbox:#_x0000_s1026" inset="0,0,0,0">
              <w:txbxContent>
                <w:p w:rsidR="00D55EFE" w:rsidRDefault="00D55EFE" w:rsidP="00D55EFE">
                  <w:r>
                    <w:rPr>
                      <w:noProof/>
                    </w:rPr>
                    <w:drawing>
                      <wp:inline distT="0" distB="0" distL="0" distR="0">
                        <wp:extent cx="4733925" cy="382905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639" t="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925" cy="382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Pr="00844C95">
        <w:rPr>
          <w:lang w:val="hr-HR"/>
        </w:rPr>
        <w:t>Може се напоменути да између 2</w:t>
      </w:r>
      <w:r w:rsidRPr="00844C95">
        <w:rPr>
          <w:lang w:val="sr-Cyrl-CS"/>
        </w:rPr>
        <w:t>.</w:t>
      </w:r>
      <w:r w:rsidRPr="00844C95">
        <w:rPr>
          <w:lang w:val="hr-HR"/>
        </w:rPr>
        <w:t>000 и 3</w:t>
      </w:r>
      <w:r w:rsidRPr="00844C95">
        <w:rPr>
          <w:lang w:val="sr-Cyrl-CS"/>
        </w:rPr>
        <w:t>.</w:t>
      </w:r>
      <w:r w:rsidRPr="00844C95">
        <w:rPr>
          <w:lang w:val="hr-HR"/>
        </w:rPr>
        <w:t>000 излетника и ловаца дође на хајку на вукове у фебруару и летњи и зимски успон на Трем;</w:t>
      </w:r>
    </w:p>
    <w:p w:rsidR="00D55EFE" w:rsidRPr="00307F64" w:rsidRDefault="00D55EFE" w:rsidP="00D55EFE">
      <w:pPr>
        <w:pStyle w:val="NormalWeb"/>
        <w:spacing w:before="0" w:after="60"/>
        <w:ind w:left="720"/>
        <w:rPr>
          <w:lang w:val="hr-HR"/>
        </w:rPr>
      </w:pPr>
      <w:r w:rsidRPr="00307F64">
        <w:rPr>
          <w:bCs/>
        </w:rPr>
        <w:t xml:space="preserve">Карта: </w:t>
      </w:r>
      <w:r w:rsidRPr="00307F64">
        <w:t>Туристичке атракције на простору</w:t>
      </w:r>
      <w:r w:rsidRPr="00307F64">
        <w:rPr>
          <w:lang w:val="sr-Cyrl-CS"/>
        </w:rPr>
        <w:t xml:space="preserve"> т</w:t>
      </w:r>
      <w:r w:rsidRPr="00307F64">
        <w:t>уристичке дестинације „Заплање“</w:t>
      </w:r>
    </w:p>
    <w:p w:rsidR="00D55EFE" w:rsidRDefault="00D55EFE" w:rsidP="00D55EF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5EFE" w:rsidRPr="00844C95" w:rsidRDefault="00D55EFE" w:rsidP="00D55EF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</w:rPr>
        <w:lastRenderedPageBreak/>
        <w:t>Заштита животне средине</w:t>
      </w:r>
    </w:p>
    <w:p w:rsidR="00D55EFE" w:rsidRPr="00844C95" w:rsidRDefault="00D55EFE" w:rsidP="00D55EFE">
      <w:pPr>
        <w:rPr>
          <w:rFonts w:ascii="Times New Roman" w:hAnsi="Times New Roman" w:cs="Times New Roman"/>
          <w:lang w:val="ru-RU"/>
        </w:rPr>
      </w:pP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Општина Гаџин Хан као основу свог економског развоја и развоја МСП и предузетнишва сматра пре свега развој пољопривреде и развој туризма.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 xml:space="preserve">Из тих разлога заштита животне средине игра пресудну улогу у економском развоју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пштине.</w:t>
      </w:r>
      <w:proofErr w:type="gramEnd"/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Систематска мерења и редовно праћење стања су неопходни како би се постигли жељени циљеви унапређења раста и развоја МСП и предузетништва.</w:t>
      </w:r>
      <w:proofErr w:type="gramEnd"/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Тренутна ситуација показује да општина Гаџин Хан иако поседује План интегрисаног управљања комуналним отпадом, још увек није развила добар систем праћења еколошких фактора на својој територији.</w:t>
      </w:r>
      <w:proofErr w:type="gramEnd"/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Због нејасноћа око реализације пројекта управљања комуналним отпадом,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</w:rPr>
        <w:t>још увек недефинисане локације око изградње регионалне депоније Ниш, као и још многих других детаља предвиђа се да се један део простора уреди у сврху прикупљања отпада и то у атару села Горњег Власа.</w:t>
      </w:r>
      <w:proofErr w:type="gramEnd"/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Превасходно ће се ићи на солуцију одвожења комуналног отпада на Нишку депонију, јер количину смећа, број становника који се предвиђа и још многих других чињеница утицаће на даљи ток око тога да ли ће планирана локација заиста бити у функцији третмана отпада или ће општина Гаџин Хан све количине »извозити« на локацију ван њеног подруч</w:t>
      </w:r>
      <w:r w:rsidRPr="00844C95">
        <w:rPr>
          <w:rFonts w:ascii="Times New Roman" w:hAnsi="Times New Roman" w:cs="Times New Roman"/>
          <w:lang w:val="sr-Cyrl-CS"/>
        </w:rPr>
        <w:t>ја.</w:t>
      </w: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Морфолошки састав комуналног отпада за Гаџин Хан дат је на слећим табелама (урађен је према подацима ЈП Дирекција за изград</w:t>
      </w:r>
      <w:r w:rsidRPr="00844C95">
        <w:rPr>
          <w:rFonts w:ascii="Times New Roman" w:hAnsi="Times New Roman" w:cs="Times New Roman"/>
          <w:lang w:val="sr-Cyrl-CS"/>
        </w:rPr>
        <w:t>њ</w:t>
      </w:r>
      <w:r w:rsidRPr="00844C95">
        <w:rPr>
          <w:rFonts w:ascii="Times New Roman" w:hAnsi="Times New Roman" w:cs="Times New Roman"/>
        </w:rPr>
        <w:t>у и комуналне делатности Гаџин Хан</w:t>
      </w:r>
      <w:r w:rsidRPr="00844C95">
        <w:rPr>
          <w:rFonts w:ascii="Times New Roman" w:hAnsi="Times New Roman" w:cs="Times New Roman"/>
          <w:lang w:val="sr-Cyrl-CS"/>
        </w:rPr>
        <w:t>.</w:t>
      </w:r>
      <w:proofErr w:type="gramEnd"/>
    </w:p>
    <w:p w:rsidR="00D55EFE" w:rsidRDefault="00D55EFE" w:rsidP="00D55EF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D55EFE" w:rsidRDefault="00D55EFE" w:rsidP="00D55EF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"/>
        <w:ind w:hanging="915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3417"/>
        <w:gridCol w:w="2520"/>
        <w:gridCol w:w="2480"/>
      </w:tblGrid>
      <w:tr w:rsidR="00D55EFE" w:rsidRPr="00844C95" w:rsidTr="00002275">
        <w:tc>
          <w:tcPr>
            <w:tcW w:w="9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lang w:val="sr-Cyrl-CS"/>
              </w:rPr>
              <w:t>Р.бр.</w:t>
            </w:r>
          </w:p>
        </w:tc>
        <w:tc>
          <w:tcPr>
            <w:tcW w:w="341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Тип отпада</w:t>
            </w:r>
          </w:p>
        </w:tc>
        <w:tc>
          <w:tcPr>
            <w:tcW w:w="500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</w:rPr>
              <w:t>Удео у укупној</w:t>
            </w:r>
            <w:r w:rsidRPr="00844C95">
              <w:rPr>
                <w:rFonts w:ascii="Times New Roman" w:hAnsi="Times New Roman" w:cs="Times New Roman"/>
                <w:b/>
                <w:lang w:val="sr-Cyrl-CS"/>
              </w:rPr>
              <w:t xml:space="preserve"> количини (%)</w:t>
            </w:r>
          </w:p>
        </w:tc>
      </w:tr>
      <w:tr w:rsidR="00D55EFE" w:rsidRPr="00844C95" w:rsidTr="00002275">
        <w:tc>
          <w:tcPr>
            <w:tcW w:w="9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Урбана насеља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Сеоска насеља</w:t>
            </w:r>
          </w:p>
        </w:tc>
      </w:tr>
      <w:tr w:rsidR="00D55EFE" w:rsidRPr="00844C95" w:rsidTr="00002275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Органске материје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30,00</w:t>
            </w:r>
          </w:p>
        </w:tc>
      </w:tr>
      <w:tr w:rsidR="00D55EFE" w:rsidRPr="00844C95" w:rsidTr="00002275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Папир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8,00</w:t>
            </w:r>
          </w:p>
        </w:tc>
      </w:tr>
      <w:tr w:rsidR="00D55EFE" w:rsidRPr="00844C95" w:rsidTr="00002275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Текстил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10,00</w:t>
            </w:r>
          </w:p>
        </w:tc>
      </w:tr>
      <w:tr w:rsidR="00D55EFE" w:rsidRPr="00844C95" w:rsidTr="00002275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Метал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3,00</w:t>
            </w:r>
          </w:p>
        </w:tc>
      </w:tr>
      <w:tr w:rsidR="00D55EFE" w:rsidRPr="00844C95" w:rsidTr="00002275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Пластика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15,00</w:t>
            </w:r>
          </w:p>
        </w:tc>
      </w:tr>
      <w:tr w:rsidR="00D55EFE" w:rsidRPr="00844C95" w:rsidTr="00002275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Гума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7,00</w:t>
            </w:r>
          </w:p>
        </w:tc>
      </w:tr>
      <w:tr w:rsidR="00D55EFE" w:rsidRPr="00844C95" w:rsidTr="00002275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Стакло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55EFE" w:rsidRPr="00844C95" w:rsidRDefault="00D55EFE" w:rsidP="00002275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2,00</w:t>
            </w:r>
          </w:p>
        </w:tc>
      </w:tr>
    </w:tbl>
    <w:p w:rsidR="00D55EFE" w:rsidRDefault="00D55EFE" w:rsidP="00D55EF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EFE" w:rsidRDefault="00D55EFE" w:rsidP="00D55EF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EFE" w:rsidRPr="00CD7D9B" w:rsidRDefault="00D55EFE" w:rsidP="00D55EF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EFE" w:rsidRDefault="00D55EFE" w:rsidP="00D55EF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</w:p>
    <w:p w:rsidR="00D55EFE" w:rsidRPr="00307F64" w:rsidRDefault="00D55EFE" w:rsidP="00D55EFE">
      <w:pPr>
        <w:pStyle w:val="BodyTex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F64">
        <w:rPr>
          <w:rFonts w:ascii="Times New Roman" w:hAnsi="Times New Roman" w:cs="Times New Roman"/>
          <w:sz w:val="36"/>
          <w:szCs w:val="36"/>
          <w:lang w:val="sr-Cyrl-CS"/>
        </w:rPr>
        <w:lastRenderedPageBreak/>
        <w:t>СТАЊЕ НА ТРЖИШТУ РАДА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36"/>
          <w:szCs w:val="36"/>
          <w:lang w:val="sr-Cyrl-CS"/>
        </w:rPr>
      </w:pPr>
      <w:r w:rsidRPr="00844C95">
        <w:rPr>
          <w:rFonts w:ascii="Times New Roman" w:hAnsi="Times New Roman" w:cs="Times New Roman"/>
          <w:lang w:val="hr-HR"/>
        </w:rPr>
        <w:t xml:space="preserve">Као што </w:t>
      </w:r>
      <w:r w:rsidRPr="00844C95">
        <w:rPr>
          <w:rFonts w:ascii="Times New Roman" w:hAnsi="Times New Roman" w:cs="Times New Roman"/>
          <w:lang w:val="sr-Cyrl-CS"/>
        </w:rPr>
        <w:t xml:space="preserve">је </w:t>
      </w:r>
      <w:r w:rsidRPr="00844C95">
        <w:rPr>
          <w:rFonts w:ascii="Times New Roman" w:hAnsi="Times New Roman" w:cs="Times New Roman"/>
          <w:lang w:val="hr-HR"/>
        </w:rPr>
        <w:t xml:space="preserve">већ </w:t>
      </w:r>
      <w:r w:rsidRPr="00844C95">
        <w:rPr>
          <w:rFonts w:ascii="Times New Roman" w:hAnsi="Times New Roman" w:cs="Times New Roman"/>
          <w:lang w:val="sr-Cyrl-CS"/>
        </w:rPr>
        <w:t xml:space="preserve">раније </w:t>
      </w:r>
      <w:r w:rsidRPr="00844C95">
        <w:rPr>
          <w:rFonts w:ascii="Times New Roman" w:hAnsi="Times New Roman" w:cs="Times New Roman"/>
          <w:lang w:val="hr-HR"/>
        </w:rPr>
        <w:t>нагла</w:t>
      </w:r>
      <w:r w:rsidRPr="00844C95">
        <w:rPr>
          <w:rFonts w:ascii="Times New Roman" w:hAnsi="Times New Roman" w:cs="Times New Roman"/>
          <w:lang w:val="sr-Cyrl-CS"/>
        </w:rPr>
        <w:t>шено,</w:t>
      </w:r>
      <w:r w:rsidRPr="00844C95">
        <w:rPr>
          <w:rFonts w:ascii="Times New Roman" w:hAnsi="Times New Roman" w:cs="Times New Roman"/>
          <w:lang w:val="hr-HR"/>
        </w:rPr>
        <w:t xml:space="preserve"> Општина Гаџин Хан убраја се у </w:t>
      </w:r>
      <w:r w:rsidRPr="00844C95">
        <w:rPr>
          <w:rFonts w:ascii="Times New Roman" w:hAnsi="Times New Roman" w:cs="Times New Roman"/>
          <w:i/>
          <w:iCs/>
          <w:lang w:val="hr-HR"/>
        </w:rPr>
        <w:t xml:space="preserve">старе </w:t>
      </w:r>
      <w:r w:rsidRPr="00844C95">
        <w:rPr>
          <w:rFonts w:ascii="Times New Roman" w:hAnsi="Times New Roman" w:cs="Times New Roman"/>
          <w:lang w:val="hr-HR"/>
        </w:rPr>
        <w:t>општине с обзиром да више од половине становника</w:t>
      </w:r>
      <w:r w:rsidRPr="00844C95">
        <w:rPr>
          <w:rFonts w:ascii="Times New Roman" w:hAnsi="Times New Roman" w:cs="Times New Roman"/>
          <w:lang w:val="sr-Cyrl-CS"/>
        </w:rPr>
        <w:t>:</w:t>
      </w:r>
      <w:r w:rsidRPr="00844C95">
        <w:rPr>
          <w:rFonts w:ascii="Times New Roman" w:hAnsi="Times New Roman" w:cs="Times New Roman"/>
          <w:lang w:val="hr-HR"/>
        </w:rPr>
        <w:t xml:space="preserve"> 56%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  <w:lang w:val="hr-HR"/>
        </w:rPr>
        <w:t xml:space="preserve"> припада старосним групама од 50 године па надаље</w:t>
      </w:r>
      <w:r w:rsidRPr="00844C95">
        <w:rPr>
          <w:rFonts w:ascii="Times New Roman" w:hAnsi="Times New Roman" w:cs="Times New Roman"/>
          <w:lang w:val="sr-Cyrl-CS"/>
        </w:rPr>
        <w:t xml:space="preserve">, да </w:t>
      </w:r>
      <w:r w:rsidRPr="00844C95">
        <w:rPr>
          <w:rFonts w:ascii="Times New Roman" w:hAnsi="Times New Roman" w:cs="Times New Roman"/>
          <w:lang w:val="hr-HR"/>
        </w:rPr>
        <w:t>природног прираштаја нема</w:t>
      </w:r>
      <w:r w:rsidRPr="00844C95">
        <w:rPr>
          <w:rFonts w:ascii="Times New Roman" w:hAnsi="Times New Roman" w:cs="Times New Roman"/>
          <w:lang w:val="sr-Cyrl-CS"/>
        </w:rPr>
        <w:t>:</w:t>
      </w:r>
      <w:r w:rsidRPr="00844C95">
        <w:rPr>
          <w:rFonts w:ascii="Times New Roman" w:hAnsi="Times New Roman" w:cs="Times New Roman"/>
          <w:lang w:val="hr-HR"/>
        </w:rPr>
        <w:t xml:space="preserve"> на 1000 становника износи -18,7%, док контигент становништва до 20 годин</w:t>
      </w:r>
      <w:r w:rsidRPr="00844C95">
        <w:rPr>
          <w:rFonts w:ascii="Times New Roman" w:hAnsi="Times New Roman" w:cs="Times New Roman"/>
          <w:lang w:val="sr-Cyrl-CS"/>
        </w:rPr>
        <w:t>а</w:t>
      </w:r>
      <w:r w:rsidRPr="00844C95">
        <w:rPr>
          <w:rFonts w:ascii="Times New Roman" w:hAnsi="Times New Roman" w:cs="Times New Roman"/>
          <w:lang w:val="hr-HR"/>
        </w:rPr>
        <w:t xml:space="preserve"> чини свега 15,4 % укупног становништва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22"/>
        <w:gridCol w:w="1152"/>
        <w:gridCol w:w="1213"/>
        <w:gridCol w:w="1063"/>
        <w:gridCol w:w="1107"/>
        <w:gridCol w:w="1152"/>
        <w:gridCol w:w="1063"/>
        <w:gridCol w:w="1170"/>
      </w:tblGrid>
      <w:tr w:rsidR="00D55EFE" w:rsidRPr="00844C95" w:rsidTr="00002275">
        <w:trPr>
          <w:trHeight w:val="1035"/>
        </w:trPr>
        <w:tc>
          <w:tcPr>
            <w:tcW w:w="142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pStyle w:val="Title"/>
              <w:snapToGrid w:val="0"/>
              <w:rPr>
                <w:b/>
                <w:sz w:val="24"/>
              </w:rPr>
            </w:pPr>
          </w:p>
        </w:tc>
        <w:tc>
          <w:tcPr>
            <w:tcW w:w="115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 xml:space="preserve">Укупно </w:t>
            </w:r>
          </w:p>
        </w:tc>
        <w:tc>
          <w:tcPr>
            <w:tcW w:w="3383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>Становништво са</w:t>
            </w:r>
          </w:p>
        </w:tc>
        <w:tc>
          <w:tcPr>
            <w:tcW w:w="33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>Учешће становништва са</w:t>
            </w:r>
          </w:p>
        </w:tc>
      </w:tr>
      <w:tr w:rsidR="00D55EFE" w:rsidRPr="00844C95" w:rsidTr="00002275">
        <w:trPr>
          <w:trHeight w:val="764"/>
        </w:trPr>
        <w:tc>
          <w:tcPr>
            <w:tcW w:w="142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pStyle w:val="Title"/>
              <w:snapToGrid w:val="0"/>
              <w:rPr>
                <w:b/>
                <w:bCs/>
                <w:sz w:val="24"/>
                <w:lang w:val="it-IT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средњом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вишом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високом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средњом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вишом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високом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</w:tr>
      <w:tr w:rsidR="00D55EFE" w:rsidRPr="00844C95" w:rsidTr="00002275">
        <w:trPr>
          <w:trHeight w:val="548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Република Србија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6A2521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7.186.862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7E56F1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2B056D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18.393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7E56F1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34,63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5,49</w:t>
            </w:r>
          </w:p>
        </w:tc>
      </w:tr>
      <w:tr w:rsidR="00D55EFE" w:rsidRPr="00844C95" w:rsidTr="00002275">
        <w:trPr>
          <w:trHeight w:val="556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Нишавски округ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6A2521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</w:rPr>
              <w:t>68.088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005993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47.624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005993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005993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32,83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6,06</w:t>
            </w:r>
          </w:p>
        </w:tc>
      </w:tr>
      <w:tr w:rsidR="00D55EFE" w:rsidRPr="00844C95" w:rsidTr="00002275">
        <w:trPr>
          <w:trHeight w:val="550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Општина</w:t>
            </w:r>
          </w:p>
          <w:p w:rsidR="00D55EFE" w:rsidRPr="00844C95" w:rsidRDefault="00D55EFE" w:rsidP="00002275">
            <w:pPr>
              <w:pStyle w:val="Title"/>
              <w:jc w:val="left"/>
              <w:rPr>
                <w:sz w:val="24"/>
                <w:lang w:val="sr-Cyrl-CS"/>
              </w:rPr>
            </w:pPr>
            <w:r w:rsidRPr="00844C95">
              <w:rPr>
                <w:sz w:val="24"/>
                <w:lang w:val="sr-Cyrl-CS"/>
              </w:rPr>
              <w:t>Гаџин Хан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A67F0B" w:rsidRDefault="00D55EFE" w:rsidP="00002275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lang w:val="sr-Cyrl-CS"/>
              </w:rPr>
              <w:t>8.357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B6FDE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1.839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73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55EFE" w:rsidRPr="00844C95" w:rsidRDefault="00D55EFE" w:rsidP="0000227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0,60</w:t>
            </w:r>
          </w:p>
        </w:tc>
      </w:tr>
    </w:tbl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Активно становништво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55EFE" w:rsidRPr="00844C95" w:rsidTr="00002275">
        <w:tc>
          <w:tcPr>
            <w:tcW w:w="2394" w:type="dxa"/>
            <w:shd w:val="clear" w:color="auto" w:fill="D9D9D9" w:themeFill="background1" w:themeFillShade="D9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Активно становништво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Лица са личним примањем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Издржавано становништво</w:t>
            </w:r>
          </w:p>
        </w:tc>
      </w:tr>
      <w:tr w:rsidR="00D55EFE" w:rsidRPr="00844C95" w:rsidTr="00002275">
        <w:tc>
          <w:tcPr>
            <w:tcW w:w="2394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2011</w:t>
            </w:r>
          </w:p>
        </w:tc>
        <w:tc>
          <w:tcPr>
            <w:tcW w:w="2394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3740</w:t>
            </w:r>
          </w:p>
        </w:tc>
        <w:tc>
          <w:tcPr>
            <w:tcW w:w="2394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2237</w:t>
            </w:r>
          </w:p>
        </w:tc>
        <w:tc>
          <w:tcPr>
            <w:tcW w:w="2394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1082</w:t>
            </w:r>
          </w:p>
        </w:tc>
      </w:tr>
      <w:tr w:rsidR="00D55EFE" w:rsidRPr="00844C95" w:rsidTr="00002275">
        <w:tc>
          <w:tcPr>
            <w:tcW w:w="2394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2012</w:t>
            </w:r>
          </w:p>
        </w:tc>
        <w:tc>
          <w:tcPr>
            <w:tcW w:w="2394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3700</w:t>
            </w:r>
          </w:p>
        </w:tc>
        <w:tc>
          <w:tcPr>
            <w:tcW w:w="2394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2220</w:t>
            </w:r>
          </w:p>
        </w:tc>
        <w:tc>
          <w:tcPr>
            <w:tcW w:w="2394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1100</w:t>
            </w:r>
          </w:p>
        </w:tc>
      </w:tr>
      <w:tr w:rsidR="00D55EFE" w:rsidRPr="00844C95" w:rsidTr="00002275">
        <w:tc>
          <w:tcPr>
            <w:tcW w:w="2394" w:type="dxa"/>
          </w:tcPr>
          <w:p w:rsidR="00D55EFE" w:rsidRPr="000665A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D55EFE" w:rsidRPr="00286FB6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394" w:type="dxa"/>
          </w:tcPr>
          <w:p w:rsidR="00D55EFE" w:rsidRPr="00D573E3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364</w:t>
            </w:r>
          </w:p>
        </w:tc>
        <w:tc>
          <w:tcPr>
            <w:tcW w:w="2394" w:type="dxa"/>
          </w:tcPr>
          <w:p w:rsidR="00D55EFE" w:rsidRPr="00D573E3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1736</w:t>
            </w:r>
          </w:p>
        </w:tc>
      </w:tr>
      <w:tr w:rsidR="00D55EFE" w:rsidRPr="00844C95" w:rsidTr="00002275">
        <w:tc>
          <w:tcPr>
            <w:tcW w:w="2394" w:type="dxa"/>
          </w:tcPr>
          <w:p w:rsidR="00D55EFE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4" w:type="dxa"/>
          </w:tcPr>
          <w:p w:rsidR="00D55EFE" w:rsidRPr="007E2EFA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3203</w:t>
            </w:r>
          </w:p>
        </w:tc>
        <w:tc>
          <w:tcPr>
            <w:tcW w:w="2394" w:type="dxa"/>
          </w:tcPr>
          <w:p w:rsidR="00D55EFE" w:rsidRPr="006757AD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1632</w:t>
            </w:r>
          </w:p>
        </w:tc>
        <w:tc>
          <w:tcPr>
            <w:tcW w:w="2394" w:type="dxa"/>
          </w:tcPr>
          <w:p w:rsidR="00D55EFE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1571</w:t>
            </w:r>
          </w:p>
        </w:tc>
      </w:tr>
    </w:tbl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5EFE" w:rsidRPr="00844C95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BA"/>
        </w:rPr>
      </w:pPr>
      <w:r w:rsidRPr="00844C95">
        <w:rPr>
          <w:rFonts w:ascii="Times New Roman" w:hAnsi="Times New Roman" w:cs="Times New Roman"/>
          <w:sz w:val="20"/>
          <w:szCs w:val="20"/>
          <w:lang w:val="sr-Cyrl-BA"/>
        </w:rPr>
        <w:t>Извор: Републички завод за статистику</w:t>
      </w:r>
    </w:p>
    <w:p w:rsidR="00D55EFE" w:rsidRPr="00EB2BD1" w:rsidRDefault="00D55EFE" w:rsidP="00D5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 незапослених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.239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Стопа незапослености: </w:t>
      </w:r>
      <w:r>
        <w:rPr>
          <w:rFonts w:ascii="Times New Roman" w:hAnsi="Times New Roman" w:cs="Times New Roman"/>
          <w:sz w:val="24"/>
          <w:szCs w:val="24"/>
          <w:lang w:val="sr-Cyrl-CS"/>
        </w:rPr>
        <w:t>42,8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>%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FE" w:rsidRDefault="00D55EFE" w:rsidP="00D5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FE" w:rsidRDefault="00D55EFE" w:rsidP="00D5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FE" w:rsidRDefault="00D55EFE" w:rsidP="00D5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FE" w:rsidRDefault="00D55EFE" w:rsidP="00D5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Незапослени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 полу и степену стручне спреме у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месецу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новембру 2016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2520"/>
        <w:gridCol w:w="15"/>
        <w:gridCol w:w="2255"/>
      </w:tblGrid>
      <w:tr w:rsidR="00D55EFE" w:rsidRPr="00844C95" w:rsidTr="00002275">
        <w:trPr>
          <w:trHeight w:val="240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стручне спреме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D55EFE" w:rsidRPr="00844C95" w:rsidRDefault="00D55EFE" w:rsidP="0000227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незапослених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  <w:vMerge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VI-2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VII-1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55EFE" w:rsidRPr="00EB2BD1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VII-2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55EFE" w:rsidRPr="00844C95" w:rsidTr="00002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  <w:shd w:val="clear" w:color="auto" w:fill="D9D9D9" w:themeFill="background1" w:themeFillShade="D9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1240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844C95">
        <w:rPr>
          <w:rFonts w:ascii="Times New Roman" w:hAnsi="Times New Roman" w:cs="Times New Roman"/>
          <w:b/>
          <w:sz w:val="20"/>
          <w:szCs w:val="20"/>
          <w:lang w:val="sr-Cyrl-CS"/>
        </w:rPr>
        <w:t>Извор:</w:t>
      </w:r>
      <w:r w:rsidRPr="00844C95">
        <w:rPr>
          <w:rFonts w:ascii="Times New Roman" w:hAnsi="Times New Roman" w:cs="Times New Roman"/>
          <w:sz w:val="20"/>
          <w:szCs w:val="20"/>
          <w:lang w:val="sr-Cyrl-CS"/>
        </w:rPr>
        <w:t xml:space="preserve"> Национална служба за запошљавање</w:t>
      </w: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111125</wp:posOffset>
            </wp:positionV>
            <wp:extent cx="3829050" cy="2095500"/>
            <wp:effectExtent l="19050" t="0" r="19050" b="0"/>
            <wp:wrapNone/>
            <wp:docPr id="13" name="chart1.xml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Графикон: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Незапослена лица по општинама и степену стручне спреме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на крају октобра 2017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Извор: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служба за запошљавање</w:t>
      </w:r>
    </w:p>
    <w:p w:rsidR="00D55EFE" w:rsidRDefault="00D55EFE" w:rsidP="00D55EFE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Default="00D55EFE" w:rsidP="00D55EF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Pr="00167410" w:rsidRDefault="00D55EFE" w:rsidP="00D55EF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7410">
        <w:rPr>
          <w:rFonts w:ascii="Times New Roman" w:hAnsi="Times New Roman" w:cs="Times New Roman"/>
          <w:b/>
          <w:sz w:val="24"/>
          <w:szCs w:val="24"/>
          <w:lang w:val="sr-Cyrl-CS"/>
        </w:rPr>
        <w:t>Преглед броја незапослених лица по полу и годинама старости у месецу октобру 2015. године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Године старости</w:t>
            </w:r>
          </w:p>
        </w:tc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жене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15-19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20-24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25-29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30-34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35-39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40-44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45-49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50-54</w:t>
            </w:r>
          </w:p>
        </w:tc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167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55-59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60-64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92" w:type="dxa"/>
          </w:tcPr>
          <w:p w:rsidR="00D55EFE" w:rsidRPr="00597ABF" w:rsidRDefault="00D55EFE" w:rsidP="000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 и више година</w:t>
            </w:r>
          </w:p>
        </w:tc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55EFE" w:rsidTr="00002275">
        <w:tc>
          <w:tcPr>
            <w:tcW w:w="3192" w:type="dxa"/>
          </w:tcPr>
          <w:p w:rsidR="00D55EFE" w:rsidRPr="00D2194B" w:rsidRDefault="00D55EFE" w:rsidP="0000227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192" w:type="dxa"/>
          </w:tcPr>
          <w:p w:rsidR="00D55EFE" w:rsidRPr="00E32687" w:rsidRDefault="00D55EFE" w:rsidP="0000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92" w:type="dxa"/>
          </w:tcPr>
          <w:p w:rsidR="00D55EFE" w:rsidRPr="00E32687" w:rsidRDefault="00D55EFE" w:rsidP="0000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</w:tr>
    </w:tbl>
    <w:p w:rsidR="00D55EFE" w:rsidRDefault="00D55EFE" w:rsidP="00D55EFE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43BA2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 w:rsidRPr="00443BA2">
        <w:rPr>
          <w:rFonts w:ascii="Times New Roman" w:hAnsi="Times New Roman" w:cs="Times New Roman"/>
          <w:sz w:val="24"/>
          <w:szCs w:val="24"/>
          <w:lang w:val="sr-Cyrl-CS"/>
        </w:rPr>
        <w:t>: Национална служба за запошљавање</w:t>
      </w:r>
    </w:p>
    <w:p w:rsidR="00D55EFE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6574" w:type="dxa"/>
        <w:tblInd w:w="108" w:type="dxa"/>
        <w:tblLook w:val="04A0"/>
      </w:tblPr>
      <w:tblGrid>
        <w:gridCol w:w="16352"/>
        <w:gridCol w:w="222"/>
      </w:tblGrid>
      <w:tr w:rsidR="00D55EFE" w:rsidRPr="00844C95" w:rsidTr="00002275">
        <w:trPr>
          <w:trHeight w:val="509"/>
        </w:trPr>
        <w:tc>
          <w:tcPr>
            <w:tcW w:w="165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E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844C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00525" cy="2752725"/>
                  <wp:effectExtent l="19050" t="0" r="9525" b="0"/>
                  <wp:docPr id="1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C9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10382250</wp:posOffset>
                  </wp:positionH>
                  <wp:positionV relativeFrom="paragraph">
                    <wp:posOffset>-9525</wp:posOffset>
                  </wp:positionV>
                  <wp:extent cx="4781550" cy="3419475"/>
                  <wp:effectExtent l="0" t="0" r="0" b="0"/>
                  <wp:wrapNone/>
                  <wp:docPr id="9" name="chart2.xml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58"/>
            </w:tblGrid>
            <w:tr w:rsidR="00D55EFE" w:rsidRPr="00844C95" w:rsidTr="00002275">
              <w:trPr>
                <w:trHeight w:val="509"/>
                <w:tblCellSpacing w:w="0" w:type="dxa"/>
              </w:trPr>
              <w:tc>
                <w:tcPr>
                  <w:tcW w:w="16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EFE" w:rsidRPr="00844C95" w:rsidRDefault="00D55EFE" w:rsidP="0000227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44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Графикон</w:t>
                  </w:r>
                  <w:r w:rsidRPr="00844C9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: Незапослена лица по старости и полу у месецу </w:t>
                  </w:r>
                </w:p>
                <w:p w:rsidR="00D55EFE" w:rsidRDefault="00D55EFE" w:rsidP="0000227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                   новембру 2016</w:t>
                  </w:r>
                  <w:r w:rsidRPr="00844C9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.годи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  <w:p w:rsidR="00D55EFE" w:rsidRPr="00844C95" w:rsidRDefault="00D55EFE" w:rsidP="0000227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44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 Извор:</w:t>
                  </w:r>
                  <w:r w:rsidRPr="00844C9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Национална служба за запошљавање</w:t>
                  </w:r>
                </w:p>
                <w:p w:rsidR="00D55EFE" w:rsidRPr="00844C95" w:rsidRDefault="00D55EFE" w:rsidP="00002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5EFE" w:rsidRPr="00844C95" w:rsidTr="00002275">
              <w:trPr>
                <w:trHeight w:val="24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5EFE" w:rsidRPr="00844C95" w:rsidRDefault="00D55EFE" w:rsidP="00002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FE" w:rsidRPr="00844C95" w:rsidTr="00002275">
        <w:trPr>
          <w:trHeight w:val="255"/>
        </w:trPr>
        <w:tc>
          <w:tcPr>
            <w:tcW w:w="1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EFE" w:rsidRPr="00844C95" w:rsidRDefault="00D55EFE" w:rsidP="0000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EFE" w:rsidRPr="00844C95" w:rsidRDefault="00D55EFE" w:rsidP="0000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4825" cy="2895600"/>
            <wp:effectExtent l="19050" t="0" r="9525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55EFE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Графикон: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Незапослена лица према трајању незапослености и полу у месецу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новембру 2016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D55EFE" w:rsidRPr="00844C95" w:rsidRDefault="00D55EFE" w:rsidP="00D55E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Извор: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служба за запошљавање</w:t>
      </w:r>
    </w:p>
    <w:p w:rsidR="00D55EFE" w:rsidRDefault="00D55EFE" w:rsidP="00D55EFE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Default="00D55EFE" w:rsidP="00D55EFE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Незапослена лица, запошљавање и одлив са евиденције у 2016. Години</w:t>
      </w:r>
    </w:p>
    <w:p w:rsidR="00D55EFE" w:rsidRPr="002A2DD5" w:rsidRDefault="00D55EFE" w:rsidP="00D55EFE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380" w:type="dxa"/>
        <w:tblInd w:w="93" w:type="dxa"/>
        <w:tblLayout w:type="fixed"/>
        <w:tblLook w:val="04A0"/>
      </w:tblPr>
      <w:tblGrid>
        <w:gridCol w:w="841"/>
        <w:gridCol w:w="119"/>
        <w:gridCol w:w="1215"/>
        <w:gridCol w:w="1530"/>
        <w:gridCol w:w="1350"/>
        <w:gridCol w:w="1440"/>
        <w:gridCol w:w="1710"/>
        <w:gridCol w:w="1965"/>
        <w:gridCol w:w="2210"/>
      </w:tblGrid>
      <w:tr w:rsidR="00D55EFE" w:rsidRPr="00E43782" w:rsidTr="00002275">
        <w:trPr>
          <w:trHeight w:val="255"/>
        </w:trPr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FE" w:rsidRPr="00592375" w:rsidRDefault="00D55EFE" w:rsidP="00002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  <w:t xml:space="preserve">Нишавски округ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5EFE" w:rsidRPr="00E43782" w:rsidTr="00002275">
        <w:trPr>
          <w:gridAfter w:val="1"/>
          <w:wAfter w:w="2210" w:type="dxa"/>
          <w:trHeight w:val="5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Mesec 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Nezaposlena lica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Zapošljavanje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Zapošljavanje sa evidencije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Brisani sa evidencije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Prestanak vodjenja evidencije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Ukupan odliv sa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</w:t>
            </w: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evidencije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48.212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1.290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2.620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48.534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7.560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2.184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3.281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48.223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6.314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2.327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3.609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47.293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1.573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3.868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6.802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5.362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1.391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3.535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5.793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6.648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2.821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4.537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5.453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6.601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1.743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3.886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5.144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1.666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3.778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4.099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7.166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1.734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3.261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4.995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AB1318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4.378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6.722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2.499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3.809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45.062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1.624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1.362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2.986</w:t>
            </w:r>
          </w:p>
        </w:tc>
      </w:tr>
      <w:tr w:rsidR="00D55EFE" w:rsidRPr="00E43782" w:rsidTr="00002275">
        <w:trPr>
          <w:gridAfter w:val="1"/>
          <w:wAfter w:w="2210" w:type="dxa"/>
          <w:trHeight w:val="255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     62.847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16.257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16.426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24.478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5EFE" w:rsidRPr="00E43782" w:rsidRDefault="00D55EFE" w:rsidP="00002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40.904</w:t>
            </w:r>
          </w:p>
        </w:tc>
      </w:tr>
      <w:tr w:rsidR="00D55EFE" w:rsidRPr="00E43782" w:rsidTr="00002275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E" w:rsidRPr="00E43782" w:rsidRDefault="00D55EFE" w:rsidP="00002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55EFE" w:rsidRPr="00167410" w:rsidRDefault="00D55EFE" w:rsidP="00D55EFE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67410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Национална служба за запошљавање</w:t>
      </w:r>
    </w:p>
    <w:p w:rsidR="00D55EFE" w:rsidRDefault="00D55EFE" w:rsidP="00D55EFE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Default="00D55EFE" w:rsidP="00D55EFE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pStyle w:val="Heading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lastRenderedPageBreak/>
        <w:t xml:space="preserve"> </w:t>
      </w:r>
      <w:r w:rsidRPr="00844C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Сива економија</w:t>
      </w:r>
    </w:p>
    <w:p w:rsidR="00D55EFE" w:rsidRPr="00844C95" w:rsidRDefault="00D55EFE" w:rsidP="00D55EFE">
      <w:pPr>
        <w:pStyle w:val="BodyTextFirstIndent"/>
        <w:ind w:firstLine="0"/>
        <w:rPr>
          <w:rFonts w:eastAsiaTheme="minorHAnsi"/>
          <w:sz w:val="22"/>
          <w:szCs w:val="22"/>
          <w:lang w:eastAsia="en-US"/>
        </w:rPr>
      </w:pPr>
    </w:p>
    <w:p w:rsidR="00D55EFE" w:rsidRPr="00844C95" w:rsidRDefault="00D55EFE" w:rsidP="00D55EFE">
      <w:pPr>
        <w:pStyle w:val="BodyTextFirstIndent"/>
        <w:ind w:firstLine="0"/>
        <w:rPr>
          <w:lang w:val="sr-Cyrl-CS"/>
        </w:rPr>
      </w:pPr>
      <w:r w:rsidRPr="00844C95">
        <w:rPr>
          <w:lang w:val="sr-Latn-CS"/>
        </w:rPr>
        <w:t xml:space="preserve">Рад у сивој економији у РС повезује се са ниским зарадама, сиромаштвом и угроженошћу. Од укупног броја запослених који су испод границе сиромаштва, преко 70% их је радило у сивој економији. Код послодаваца који послују у сивој економији највише се запошљавају на радним местима помоћне и неквалификоване радне снаге. Стопа рада на црно код младих креће се око 55%, углавном због недостатка посла у формалној економији. Рад на црно који је распрострањен међу младима опада са вишим старосним добом и стицањем радног искуства, а не често због обезбеђења голе егзистенције породице укључење у овакав посао не подразумева степен образовања.  </w:t>
      </w:r>
    </w:p>
    <w:p w:rsidR="00D55EFE" w:rsidRPr="00844C95" w:rsidRDefault="00D55EFE" w:rsidP="00D55EFE">
      <w:pPr>
        <w:pStyle w:val="BodyTextFirstIndent"/>
        <w:ind w:firstLine="0"/>
        <w:rPr>
          <w:lang w:val="sr-Cyrl-CS"/>
        </w:rPr>
      </w:pPr>
    </w:p>
    <w:p w:rsidR="00D55EFE" w:rsidRPr="00844C95" w:rsidRDefault="00D55EFE" w:rsidP="00D55EFE">
      <w:pPr>
        <w:pStyle w:val="Heading6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Правни и институционални оквир</w:t>
      </w:r>
    </w:p>
    <w:p w:rsidR="00D55EFE" w:rsidRPr="00844C95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pStyle w:val="BodyTextFirstIndent"/>
        <w:rPr>
          <w:lang w:val="sr-Latn-CS"/>
        </w:rPr>
      </w:pPr>
      <w:r w:rsidRPr="00844C95">
        <w:rPr>
          <w:lang w:val="sr-Latn-CS"/>
        </w:rPr>
        <w:t>У мају 2009. године усвојена су два нова закона у области запошљавања, и то:  Закон о запошљавању и осигурању за случај незапослености („Службени гласник РС”, број 36/09</w:t>
      </w:r>
      <w:r w:rsidRPr="00844C95">
        <w:rPr>
          <w:lang w:val="sr-Cyrl-CS"/>
        </w:rPr>
        <w:t xml:space="preserve"> и 88/2010</w:t>
      </w:r>
      <w:r w:rsidRPr="00844C95">
        <w:rPr>
          <w:lang w:val="sr-Latn-CS"/>
        </w:rPr>
        <w:t>) и Закон о професионалној рехабилитацији и запошљавању особа са ивалидитетом („Службени гласник РС”, број 36/09</w:t>
      </w:r>
      <w:r w:rsidRPr="00844C95">
        <w:rPr>
          <w:lang w:val="sr-Cyrl-CS"/>
        </w:rPr>
        <w:t xml:space="preserve"> и 32/2013</w:t>
      </w:r>
      <w:r w:rsidRPr="00844C95">
        <w:rPr>
          <w:lang w:val="sr-Latn-CS"/>
        </w:rPr>
        <w:t xml:space="preserve">). </w:t>
      </w:r>
    </w:p>
    <w:p w:rsidR="00D55EFE" w:rsidRPr="00844C95" w:rsidRDefault="00D55EFE" w:rsidP="00D55EFE">
      <w:pPr>
        <w:pStyle w:val="BodyTextFirstIndent"/>
        <w:rPr>
          <w:lang w:val="sr-Cyrl-CS"/>
        </w:rPr>
      </w:pPr>
      <w:r w:rsidRPr="00844C95">
        <w:rPr>
          <w:lang w:val="sr-Latn-CS"/>
        </w:rPr>
        <w:t>Нови Закон о запошљавању и осигурању за случај незапослености</w:t>
      </w:r>
      <w:r w:rsidRPr="00844C95">
        <w:rPr>
          <w:u w:val="single"/>
          <w:lang w:val="sr-Latn-CS"/>
        </w:rPr>
        <w:t xml:space="preserve"> </w:t>
      </w:r>
      <w:r w:rsidRPr="00844C95">
        <w:rPr>
          <w:lang w:val="sr-Latn-CS"/>
        </w:rPr>
        <w:t xml:space="preserve"> усаглашен је са начелима и стандардима политике запошљавања Европске уније (ЕУ) и конвенцијама Међународне организације рада (МОР). Нови закон обезбеђује садржајан и флексибилан законски оквир за планирање и спровођење активне политике запошљавања, нарочито у адекватном регулисању смисла, улоге и садржине програма активне политике запошљавања, флексибилно дефинисаним мерама активне политике запошљавања, увођењу обавезних индивидуалних планова запошљавања (осим у ограниченом изузетку), регулисању носилаца послова запошљавања, дефинисању акта којим се уређује планирани учинак Националне службе за запошљавање, као и успостављање система за праћење и оцену активне политике запошљавања.</w:t>
      </w:r>
    </w:p>
    <w:p w:rsidR="00D55EFE" w:rsidRPr="00844C95" w:rsidRDefault="00D55EFE" w:rsidP="00D55EFE">
      <w:pPr>
        <w:pStyle w:val="BodyTextFirstIndent"/>
        <w:rPr>
          <w:lang w:val="sr-Cyrl-CS"/>
        </w:rPr>
      </w:pPr>
    </w:p>
    <w:p w:rsidR="00D55EFE" w:rsidRDefault="00D55EFE" w:rsidP="00D55EFE">
      <w:pPr>
        <w:pStyle w:val="BodyTextFirstIndent"/>
        <w:rPr>
          <w:lang w:val="sr-Cyrl-CS"/>
        </w:rPr>
      </w:pPr>
    </w:p>
    <w:p w:rsidR="00D55EFE" w:rsidRDefault="00D55EFE" w:rsidP="00D55EFE">
      <w:pPr>
        <w:pStyle w:val="BodyTextFirstIndent"/>
        <w:rPr>
          <w:lang w:val="sr-Cyrl-CS"/>
        </w:rPr>
      </w:pPr>
    </w:p>
    <w:p w:rsidR="00D55EFE" w:rsidRDefault="00D55EFE" w:rsidP="00D55EFE">
      <w:pPr>
        <w:pStyle w:val="BodyTextFirstIndent"/>
        <w:rPr>
          <w:lang w:val="sr-Cyrl-CS"/>
        </w:rPr>
      </w:pPr>
    </w:p>
    <w:p w:rsidR="00D55EFE" w:rsidRDefault="00D55EFE" w:rsidP="00D55EFE">
      <w:pPr>
        <w:pStyle w:val="BodyTextFirstIndent"/>
        <w:rPr>
          <w:lang w:val="sr-Cyrl-CS"/>
        </w:rPr>
      </w:pPr>
    </w:p>
    <w:p w:rsidR="00D55EFE" w:rsidRDefault="00D55EFE" w:rsidP="00D55EFE">
      <w:pPr>
        <w:pStyle w:val="BodyTextFirstIndent"/>
        <w:rPr>
          <w:lang w:val="sr-Cyrl-CS"/>
        </w:rPr>
      </w:pPr>
    </w:p>
    <w:p w:rsidR="00D55EFE" w:rsidRDefault="00D55EFE" w:rsidP="00D55EFE">
      <w:pPr>
        <w:pStyle w:val="BodyTextFirstIndent"/>
        <w:rPr>
          <w:lang w:val="sr-Cyrl-CS"/>
        </w:rPr>
      </w:pPr>
    </w:p>
    <w:p w:rsidR="00D55EFE" w:rsidRDefault="00D55EFE" w:rsidP="00D55EFE">
      <w:pPr>
        <w:pStyle w:val="BodyTextFirstIndent"/>
        <w:rPr>
          <w:lang w:val="sr-Cyrl-CS"/>
        </w:rPr>
      </w:pPr>
    </w:p>
    <w:p w:rsidR="00D55EFE" w:rsidRDefault="00D55EFE" w:rsidP="00D55EFE">
      <w:pPr>
        <w:pStyle w:val="BodyTextFirstIndent"/>
        <w:rPr>
          <w:lang w:val="sr-Cyrl-CS"/>
        </w:rPr>
      </w:pPr>
    </w:p>
    <w:p w:rsidR="00D55EFE" w:rsidRPr="00844C95" w:rsidRDefault="00D55EFE" w:rsidP="00D55EFE">
      <w:pPr>
        <w:pStyle w:val="BodyTextFirstIndent"/>
        <w:rPr>
          <w:lang w:val="sr-Cyrl-CS"/>
        </w:rPr>
      </w:pPr>
    </w:p>
    <w:p w:rsidR="00D55EFE" w:rsidRPr="00844C95" w:rsidRDefault="00D55EFE" w:rsidP="00D55EFE">
      <w:pPr>
        <w:pStyle w:val="BodyTextFirstIndent"/>
      </w:pPr>
    </w:p>
    <w:p w:rsidR="00D55EFE" w:rsidRPr="00844C95" w:rsidRDefault="00D55EFE" w:rsidP="00D55EFE">
      <w:pPr>
        <w:pStyle w:val="BodyTextFirstIndent"/>
        <w:ind w:firstLine="0"/>
        <w:rPr>
          <w:b/>
          <w:lang w:val="sr-Cyrl-CS"/>
        </w:rPr>
      </w:pPr>
      <w:r w:rsidRPr="00844C95">
        <w:rPr>
          <w:b/>
        </w:rPr>
        <w:lastRenderedPageBreak/>
        <w:t xml:space="preserve">SWOT </w:t>
      </w:r>
      <w:r w:rsidRPr="00844C95">
        <w:rPr>
          <w:b/>
          <w:lang w:val="sr-Cyrl-CS"/>
        </w:rPr>
        <w:t>анализа – процена ризика и потенцијала тржишта рада</w:t>
      </w:r>
    </w:p>
    <w:p w:rsidR="00D55EFE" w:rsidRPr="00844C95" w:rsidRDefault="00D55EFE" w:rsidP="00D55EFE">
      <w:pPr>
        <w:pStyle w:val="BodyTextFirstIndent"/>
        <w:rPr>
          <w:lang w:val="sr-Cyrl-CS"/>
        </w:rPr>
      </w:pPr>
    </w:p>
    <w:p w:rsidR="00D55EFE" w:rsidRPr="00844C95" w:rsidRDefault="00D55EFE" w:rsidP="00D55EFE">
      <w:pPr>
        <w:pStyle w:val="BodyTextFirstIndent"/>
        <w:rPr>
          <w:lang w:val="sr-Cyrl-CS"/>
        </w:rPr>
      </w:pPr>
    </w:p>
    <w:p w:rsidR="00D55EFE" w:rsidRPr="00844C95" w:rsidRDefault="00D55EFE" w:rsidP="00D55EFE">
      <w:pPr>
        <w:pStyle w:val="BodyTextFirstIndent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35"/>
        <w:gridCol w:w="4735"/>
      </w:tblGrid>
      <w:tr w:rsidR="00D55EFE" w:rsidRPr="00844C95" w:rsidTr="00002275">
        <w:trPr>
          <w:trHeight w:val="592"/>
        </w:trPr>
        <w:tc>
          <w:tcPr>
            <w:tcW w:w="4735" w:type="dxa"/>
            <w:shd w:val="clear" w:color="auto" w:fill="D9D9D9" w:themeFill="background1" w:themeFillShade="D9"/>
          </w:tcPr>
          <w:p w:rsidR="00D55EFE" w:rsidRPr="00844C95" w:rsidRDefault="00D55EFE" w:rsidP="00002275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СНАГЕ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D55EFE" w:rsidRPr="00844C95" w:rsidRDefault="00D55EFE" w:rsidP="00002275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СЛАБОСТИ</w:t>
            </w:r>
          </w:p>
        </w:tc>
      </w:tr>
      <w:tr w:rsidR="00D55EFE" w:rsidRPr="00844C95" w:rsidTr="00002275">
        <w:trPr>
          <w:trHeight w:val="592"/>
        </w:trPr>
        <w:tc>
          <w:tcPr>
            <w:tcW w:w="4735" w:type="dxa"/>
          </w:tcPr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Добар геостратешки положај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Конкурентана цена радне снаге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стратегије одрживог развоја општине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Савета за запошљавање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 услова за развој органске производње као основе за развој прерађивачке индустрије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Општина је фискално конкурентна окружењу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великих површина слободног грађевинског земљишта за изградњу различитих објеката за потребе сектора МСПП</w:t>
            </w:r>
          </w:p>
          <w:p w:rsidR="00D55EFE" w:rsidRPr="00844C95" w:rsidRDefault="00D55EFE" w:rsidP="00002275">
            <w:pPr>
              <w:pStyle w:val="BodyTextFirstIndent"/>
              <w:ind w:firstLine="0"/>
              <w:rPr>
                <w:lang w:val="sr-Cyrl-CS"/>
              </w:rPr>
            </w:pPr>
          </w:p>
        </w:tc>
        <w:tc>
          <w:tcPr>
            <w:tcW w:w="4735" w:type="dxa"/>
          </w:tcPr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Недостатак средства за инвестиције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Лоше стање привреде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Недовољна стимулација за отварање нових радних места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Демографско старење становништва ( село-град, већи центри )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Неповољна образовна структура становништва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Непостојање адекватних институција и организација за обуку и едукацију предузетника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Непостојање филијале неке од банака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Разуђеност општине</w:t>
            </w:r>
          </w:p>
        </w:tc>
      </w:tr>
      <w:tr w:rsidR="00D55EFE" w:rsidRPr="00844C95" w:rsidTr="00002275">
        <w:trPr>
          <w:trHeight w:val="592"/>
        </w:trPr>
        <w:tc>
          <w:tcPr>
            <w:tcW w:w="4735" w:type="dxa"/>
            <w:shd w:val="clear" w:color="auto" w:fill="D9D9D9" w:themeFill="background1" w:themeFillShade="D9"/>
          </w:tcPr>
          <w:p w:rsidR="00D55EFE" w:rsidRPr="00844C95" w:rsidRDefault="00D55EFE" w:rsidP="00002275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ШАНСЕ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D55EFE" w:rsidRPr="00844C95" w:rsidRDefault="00D55EFE" w:rsidP="00002275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ПРЕТЊЕ</w:t>
            </w:r>
          </w:p>
        </w:tc>
      </w:tr>
      <w:tr w:rsidR="00D55EFE" w:rsidRPr="00844C95" w:rsidTr="00002275">
        <w:trPr>
          <w:trHeight w:val="615"/>
        </w:trPr>
        <w:tc>
          <w:tcPr>
            <w:tcW w:w="4735" w:type="dxa"/>
          </w:tcPr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Национални и интернационални програми за подршку развоју МСПП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Развој пољопривреде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Развој туризма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Поједностављење процедура за започињање приватног бизниса</w:t>
            </w:r>
          </w:p>
          <w:p w:rsidR="00D55EFE" w:rsidRPr="00844C95" w:rsidRDefault="00D55EFE" w:rsidP="00002275">
            <w:pPr>
              <w:pStyle w:val="BodyTextFirstIndent"/>
              <w:ind w:firstLine="0"/>
              <w:rPr>
                <w:lang w:val="sr-Cyrl-CS"/>
              </w:rPr>
            </w:pPr>
          </w:p>
        </w:tc>
        <w:tc>
          <w:tcPr>
            <w:tcW w:w="4735" w:type="dxa"/>
          </w:tcPr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Одлив кадрова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конкурентнијих већих, развијенијих, суседних општина и градова Нишавског округа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Смањење броја радних места</w:t>
            </w:r>
          </w:p>
          <w:p w:rsidR="00D55EFE" w:rsidRPr="00844C95" w:rsidRDefault="00D55EFE" w:rsidP="00D55EFE">
            <w:pPr>
              <w:pStyle w:val="BodyTextFirstIndent"/>
              <w:numPr>
                <w:ilvl w:val="0"/>
                <w:numId w:val="3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Високи трошкови увођења нових технологија, високе стопе пореза и доприноса на плате</w:t>
            </w:r>
          </w:p>
        </w:tc>
      </w:tr>
    </w:tbl>
    <w:p w:rsidR="00D55EFE" w:rsidRDefault="00D55EFE" w:rsidP="00D55EFE">
      <w:pPr>
        <w:tabs>
          <w:tab w:val="left" w:pos="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55EFE" w:rsidRDefault="00D55EFE" w:rsidP="00D55EFE">
      <w:pPr>
        <w:tabs>
          <w:tab w:val="left" w:pos="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55EFE" w:rsidRPr="009B3597" w:rsidRDefault="00D55EFE" w:rsidP="00D55EFE">
      <w:pPr>
        <w:pStyle w:val="ListParagraph"/>
        <w:numPr>
          <w:ilvl w:val="0"/>
          <w:numId w:val="4"/>
        </w:numPr>
        <w:tabs>
          <w:tab w:val="clear" w:pos="0"/>
          <w:tab w:val="left" w:pos="90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  <w:lang w:val="sr-Cyrl-CS"/>
        </w:rPr>
      </w:pPr>
      <w:r w:rsidRPr="009B3597">
        <w:rPr>
          <w:b/>
          <w:sz w:val="28"/>
          <w:szCs w:val="28"/>
          <w:lang w:val="sr-Cyrl-CS"/>
        </w:rPr>
        <w:lastRenderedPageBreak/>
        <w:t>Програм мере активне политике запошљавања које спроводи Национална служба за запошљавање</w:t>
      </w:r>
    </w:p>
    <w:p w:rsidR="00D55EFE" w:rsidRPr="00844C95" w:rsidRDefault="00D55EFE" w:rsidP="00D55EFE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5EFE" w:rsidRDefault="00D55EFE" w:rsidP="00D55EFE">
      <w:pPr>
        <w:spacing w:after="0" w:line="240" w:lineRule="auto"/>
        <w:ind w:firstLine="720"/>
        <w:jc w:val="both"/>
        <w:rPr>
          <w:rFonts w:ascii="Cambria" w:hAnsi="Cambria" w:cs="Times New Roman"/>
          <w:lang w:val="sr-Cyrl-CS"/>
        </w:rPr>
      </w:pPr>
      <w:r w:rsidRPr="00E0225E">
        <w:rPr>
          <w:rFonts w:ascii="Cambria" w:eastAsia="Calibri" w:hAnsi="Cambria" w:cs="Times New Roman"/>
          <w:lang w:val="sr-Cyrl-CS"/>
        </w:rPr>
        <w:t>Програми и мере активне политике запошљавања</w:t>
      </w:r>
      <w:r>
        <w:rPr>
          <w:rFonts w:ascii="Cambria" w:hAnsi="Cambria"/>
          <w:lang w:val="sr-Cyrl-CS"/>
        </w:rPr>
        <w:t xml:space="preserve"> утврђени националним акционим планом запошљавања </w:t>
      </w:r>
      <w:r>
        <w:rPr>
          <w:rFonts w:ascii="Cambria" w:eastAsia="Calibri" w:hAnsi="Cambria" w:cs="Times New Roman"/>
          <w:lang w:val="sr-Cyrl-CS"/>
        </w:rPr>
        <w:t>које ће током 2017</w:t>
      </w:r>
      <w:r w:rsidRPr="00E0225E">
        <w:rPr>
          <w:rFonts w:ascii="Cambria" w:eastAsia="Calibri" w:hAnsi="Cambria" w:cs="Times New Roman"/>
          <w:lang w:val="sr-Cyrl-CS"/>
        </w:rPr>
        <w:t>. години спроводити НСЗ</w:t>
      </w:r>
      <w:r>
        <w:rPr>
          <w:rFonts w:ascii="Cambria" w:hAnsi="Cambria"/>
          <w:lang w:val="sr-Cyrl-CS"/>
        </w:rPr>
        <w:t xml:space="preserve">, </w:t>
      </w:r>
      <w:r w:rsidRPr="00E0225E">
        <w:rPr>
          <w:rFonts w:ascii="Cambria" w:eastAsia="Calibri" w:hAnsi="Cambria" w:cs="Times New Roman"/>
          <w:lang w:val="sr-Cyrl-CS"/>
        </w:rPr>
        <w:t>реализују се у складу са Законом о запошљавању и осигурању за случај незапослености, Законом о професионалној рехабилитацији и запошљавању особа са инвалидитетом и правилима о контроли државне помоћи.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 („Службени гласник РС”, број 97/09).</w:t>
      </w:r>
    </w:p>
    <w:p w:rsidR="00D55EFE" w:rsidRPr="00E0225E" w:rsidRDefault="00D55EFE" w:rsidP="00D55EFE">
      <w:pPr>
        <w:spacing w:after="0" w:line="240" w:lineRule="auto"/>
        <w:ind w:firstLine="720"/>
        <w:jc w:val="both"/>
        <w:rPr>
          <w:rFonts w:ascii="Cambria" w:eastAsia="Calibri" w:hAnsi="Cambria" w:cs="Times New Roman"/>
          <w:lang w:val="sr-Cyrl-CS"/>
        </w:rPr>
      </w:pPr>
    </w:p>
    <w:p w:rsidR="00D55EFE" w:rsidRDefault="00D55EFE" w:rsidP="00D55EFE">
      <w:pPr>
        <w:pStyle w:val="BodyTextFirstIndent"/>
        <w:ind w:firstLine="720"/>
        <w:rPr>
          <w:rFonts w:ascii="Cambria" w:hAnsi="Cambria"/>
        </w:rPr>
      </w:pPr>
      <w:r w:rsidRPr="00E0225E">
        <w:rPr>
          <w:rFonts w:ascii="Cambria" w:hAnsi="Cambria"/>
          <w:lang w:val="sr-Cyrl-CS"/>
        </w:rPr>
        <w:t>Програми и мере активне политике запошљавања који ће се у циљу подст</w:t>
      </w:r>
      <w:r>
        <w:rPr>
          <w:rFonts w:ascii="Cambria" w:hAnsi="Cambria"/>
          <w:lang w:val="sr-Cyrl-CS"/>
        </w:rPr>
        <w:t>ицања запошљавања у 2017</w:t>
      </w:r>
      <w:r w:rsidRPr="00E0225E">
        <w:rPr>
          <w:rFonts w:ascii="Cambria" w:hAnsi="Cambria"/>
          <w:lang w:val="sr-Cyrl-CS"/>
        </w:rPr>
        <w:t>. години реализовати су:</w:t>
      </w:r>
    </w:p>
    <w:p w:rsidR="00D55EFE" w:rsidRDefault="00D55EFE" w:rsidP="00D55EFE">
      <w:pPr>
        <w:pStyle w:val="ListParagraph"/>
        <w:numPr>
          <w:ilvl w:val="0"/>
          <w:numId w:val="13"/>
        </w:numPr>
        <w:tabs>
          <w:tab w:val="clear" w:pos="0"/>
        </w:tabs>
        <w:autoSpaceDE/>
        <w:autoSpaceDN/>
        <w:adjustRightInd/>
        <w:jc w:val="both"/>
        <w:rPr>
          <w:rFonts w:ascii="Cambria" w:eastAsia="Calibri" w:hAnsi="Cambria"/>
          <w:b/>
          <w:bCs/>
          <w:lang w:val="sr-Cyrl-CS"/>
        </w:rPr>
      </w:pPr>
      <w:r>
        <w:rPr>
          <w:rFonts w:ascii="Cambria" w:eastAsia="Calibri" w:hAnsi="Cambria"/>
          <w:b/>
          <w:bCs/>
          <w:lang w:val="sr-Cyrl-CS"/>
        </w:rPr>
        <w:t>Програм јавних радова</w:t>
      </w:r>
    </w:p>
    <w:p w:rsidR="00D55EFE" w:rsidRDefault="00D55EFE" w:rsidP="00D55EFE">
      <w:pPr>
        <w:pStyle w:val="ListParagraph"/>
        <w:numPr>
          <w:ilvl w:val="0"/>
          <w:numId w:val="13"/>
        </w:numPr>
        <w:tabs>
          <w:tab w:val="clear" w:pos="0"/>
        </w:tabs>
        <w:autoSpaceDE/>
        <w:autoSpaceDN/>
        <w:adjustRightInd/>
        <w:jc w:val="both"/>
        <w:rPr>
          <w:rFonts w:ascii="Cambria" w:eastAsia="Calibri" w:hAnsi="Cambria"/>
          <w:b/>
          <w:bCs/>
          <w:lang w:val="sr-Cyrl-CS"/>
        </w:rPr>
      </w:pPr>
      <w:r>
        <w:rPr>
          <w:rFonts w:ascii="Cambria" w:eastAsia="Calibri" w:hAnsi="Cambria"/>
          <w:b/>
          <w:bCs/>
          <w:lang w:val="sr-Cyrl-CS"/>
        </w:rPr>
        <w:t>Програм стручне праксе</w:t>
      </w:r>
    </w:p>
    <w:p w:rsidR="00D55EFE" w:rsidRDefault="00D55EFE" w:rsidP="00D55EFE">
      <w:pPr>
        <w:pStyle w:val="ListParagraph"/>
        <w:numPr>
          <w:ilvl w:val="0"/>
          <w:numId w:val="13"/>
        </w:numPr>
        <w:tabs>
          <w:tab w:val="clear" w:pos="0"/>
        </w:tabs>
        <w:autoSpaceDE/>
        <w:autoSpaceDN/>
        <w:adjustRightInd/>
        <w:jc w:val="both"/>
        <w:rPr>
          <w:rFonts w:ascii="Cambria" w:eastAsia="Calibri" w:hAnsi="Cambria"/>
          <w:b/>
          <w:bCs/>
          <w:lang w:val="sr-Cyrl-CS"/>
        </w:rPr>
      </w:pPr>
      <w:r>
        <w:rPr>
          <w:rFonts w:ascii="Cambria" w:eastAsia="Calibri" w:hAnsi="Cambria"/>
          <w:b/>
          <w:bCs/>
          <w:lang w:val="sr-Cyrl-CS"/>
        </w:rPr>
        <w:t xml:space="preserve">Програм стицања практичних знања за неквалификована лица </w:t>
      </w:r>
    </w:p>
    <w:p w:rsidR="00D55EFE" w:rsidRDefault="00D55EFE" w:rsidP="00D55EFE">
      <w:pPr>
        <w:pStyle w:val="ListParagraph"/>
        <w:numPr>
          <w:ilvl w:val="0"/>
          <w:numId w:val="13"/>
        </w:numPr>
        <w:tabs>
          <w:tab w:val="clear" w:pos="0"/>
        </w:tabs>
        <w:autoSpaceDE/>
        <w:autoSpaceDN/>
        <w:adjustRightInd/>
        <w:jc w:val="both"/>
        <w:rPr>
          <w:rFonts w:ascii="Cambria" w:eastAsia="Calibri" w:hAnsi="Cambria"/>
          <w:b/>
          <w:bCs/>
          <w:lang w:val="sr-Cyrl-CS"/>
        </w:rPr>
      </w:pPr>
      <w:r>
        <w:rPr>
          <w:rFonts w:ascii="Cambria" w:eastAsia="Calibri" w:hAnsi="Cambria"/>
          <w:b/>
          <w:bCs/>
          <w:lang w:val="sr-Cyrl-CS"/>
        </w:rPr>
        <w:t>Субвенција за самозапошљавање</w:t>
      </w:r>
    </w:p>
    <w:p w:rsidR="00D55EFE" w:rsidRPr="009251A7" w:rsidRDefault="00D55EFE" w:rsidP="00D55EFE">
      <w:pPr>
        <w:pStyle w:val="ListParagraph"/>
        <w:numPr>
          <w:ilvl w:val="0"/>
          <w:numId w:val="13"/>
        </w:numPr>
        <w:tabs>
          <w:tab w:val="clear" w:pos="0"/>
        </w:tabs>
        <w:autoSpaceDE/>
        <w:autoSpaceDN/>
        <w:adjustRightInd/>
        <w:jc w:val="both"/>
        <w:rPr>
          <w:rFonts w:ascii="Cambria" w:eastAsia="Calibri" w:hAnsi="Cambria"/>
          <w:b/>
          <w:bCs/>
          <w:lang w:val="sr-Cyrl-CS"/>
        </w:rPr>
      </w:pPr>
      <w:r>
        <w:rPr>
          <w:rFonts w:ascii="Cambria" w:eastAsia="Calibri" w:hAnsi="Cambria"/>
          <w:b/>
          <w:bCs/>
          <w:lang w:val="sr-Cyrl-CS"/>
        </w:rPr>
        <w:t>Субвенција за запошљавање незапослених лица из категорије теже запошљивих</w:t>
      </w:r>
      <w:r w:rsidRPr="009251A7">
        <w:rPr>
          <w:rFonts w:ascii="Cambria" w:eastAsia="Calibri" w:hAnsi="Cambria"/>
          <w:b/>
          <w:bCs/>
          <w:lang w:val="sr-Cyrl-CS"/>
        </w:rPr>
        <w:t xml:space="preserve"> </w:t>
      </w:r>
    </w:p>
    <w:p w:rsidR="00D55EFE" w:rsidRDefault="00D55EFE" w:rsidP="00D55EFE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55EFE" w:rsidRDefault="00D55EFE" w:rsidP="00D55EFE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55EFE" w:rsidRPr="00F34B3F" w:rsidRDefault="00D55EFE" w:rsidP="00D55EFE">
      <w:pPr>
        <w:pStyle w:val="ListParagraph"/>
        <w:numPr>
          <w:ilvl w:val="0"/>
          <w:numId w:val="4"/>
        </w:numPr>
        <w:tabs>
          <w:tab w:val="clear" w:pos="0"/>
        </w:tabs>
        <w:autoSpaceDE/>
        <w:autoSpaceDN/>
        <w:adjustRightInd/>
        <w:jc w:val="both"/>
        <w:rPr>
          <w:rFonts w:ascii="Cambria" w:hAnsi="Cambria"/>
          <w:b/>
          <w:bCs/>
          <w:color w:val="000000" w:themeColor="text1"/>
          <w:sz w:val="28"/>
          <w:szCs w:val="28"/>
          <w:lang w:val="sr-Cyrl-CS"/>
        </w:rPr>
      </w:pPr>
      <w:r w:rsidRPr="00F34B3F">
        <w:rPr>
          <w:rFonts w:ascii="Cambria" w:hAnsi="Cambria"/>
          <w:b/>
          <w:bCs/>
          <w:color w:val="000000" w:themeColor="text1"/>
          <w:sz w:val="28"/>
          <w:szCs w:val="28"/>
          <w:lang w:val="sr-Cyrl-CS"/>
        </w:rPr>
        <w:t>Суфинансирање програма или мера активне политике запошљавања предвиђених локалним акционим плановима запошљавања средствима из републичког буџета (по захтеву аутономне покрајине или јединице локалне самоуправе)</w:t>
      </w:r>
    </w:p>
    <w:p w:rsidR="00D55EFE" w:rsidRDefault="00D55EFE" w:rsidP="00D55EFE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</w:p>
    <w:p w:rsidR="00D55EFE" w:rsidRPr="00D23453" w:rsidRDefault="00D55EFE" w:rsidP="00D55EFE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</w:p>
    <w:p w:rsidR="00D55EFE" w:rsidRPr="009E5C0C" w:rsidRDefault="00D55EFE" w:rsidP="00D55EFE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>
        <w:rPr>
          <w:rFonts w:ascii="Cambria" w:hAnsi="Cambria" w:cs="Times New Roman"/>
          <w:color w:val="000000" w:themeColor="text1"/>
          <w:lang w:val="sr-Cyrl-CS"/>
        </w:rPr>
        <w:t>У 2017</w:t>
      </w:r>
      <w:r w:rsidRPr="009E5C0C">
        <w:rPr>
          <w:rFonts w:ascii="Cambria" w:hAnsi="Cambria" w:cs="Times New Roman"/>
          <w:color w:val="000000" w:themeColor="text1"/>
          <w:lang w:val="sr-Cyrl-CS"/>
        </w:rPr>
        <w:t>. години одобраваће се учешће у финансирању програма или мера активне политике запошљавања, и то:</w:t>
      </w:r>
    </w:p>
    <w:p w:rsidR="00D55EFE" w:rsidRPr="009E5C0C" w:rsidRDefault="00D55EFE" w:rsidP="00D55EF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јавни радови,</w:t>
      </w:r>
    </w:p>
    <w:p w:rsidR="00D55EFE" w:rsidRPr="009E5C0C" w:rsidRDefault="00D55EFE" w:rsidP="00D55EF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програм стручне праксе,</w:t>
      </w:r>
    </w:p>
    <w:p w:rsidR="00D55EFE" w:rsidRDefault="00D55EFE" w:rsidP="00D55EF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програм стицања практичних знања,</w:t>
      </w:r>
    </w:p>
    <w:p w:rsidR="00D55EFE" w:rsidRPr="009E5C0C" w:rsidRDefault="00D55EFE" w:rsidP="00D55EF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>
        <w:rPr>
          <w:rFonts w:ascii="Cambria" w:hAnsi="Cambria" w:cs="Times New Roman"/>
          <w:color w:val="000000" w:themeColor="text1"/>
          <w:lang w:val="sr-Cyrl-CS"/>
        </w:rPr>
        <w:t>- субвенције за самозапошљавањем</w:t>
      </w:r>
    </w:p>
    <w:p w:rsidR="00D55EFE" w:rsidRPr="009E5C0C" w:rsidRDefault="00D55EFE" w:rsidP="00D55EF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</w:t>
      </w:r>
      <w:r w:rsidRPr="009E5C0C">
        <w:rPr>
          <w:rFonts w:ascii="Cambria" w:hAnsi="Cambria" w:cs="Times New Roman"/>
          <w:color w:val="000000" w:themeColor="text1"/>
          <w:lang w:val="en-GB"/>
        </w:rPr>
        <w:t xml:space="preserve"> </w:t>
      </w:r>
      <w:r w:rsidRPr="009E5C0C">
        <w:rPr>
          <w:rFonts w:ascii="Cambria" w:hAnsi="Cambria" w:cs="Times New Roman"/>
          <w:color w:val="000000" w:themeColor="text1"/>
          <w:lang w:val="sr-Cyrl-CS"/>
        </w:rPr>
        <w:t>субвенције за запошљавање незапослених лица из категорије теже запошљивих.</w:t>
      </w:r>
    </w:p>
    <w:p w:rsidR="00D55EFE" w:rsidRPr="009E5C0C" w:rsidRDefault="00D55EFE" w:rsidP="00D55EFE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55EFE" w:rsidRPr="009B3597" w:rsidRDefault="00D55EFE" w:rsidP="00D55EFE">
      <w:pPr>
        <w:pStyle w:val="ListParagraph"/>
        <w:numPr>
          <w:ilvl w:val="0"/>
          <w:numId w:val="4"/>
        </w:numPr>
        <w:tabs>
          <w:tab w:val="clear" w:pos="0"/>
        </w:tabs>
        <w:autoSpaceDE/>
        <w:autoSpaceDN/>
        <w:adjustRightInd/>
        <w:spacing w:after="200" w:line="276" w:lineRule="auto"/>
        <w:rPr>
          <w:b/>
          <w:sz w:val="28"/>
          <w:szCs w:val="28"/>
          <w:lang w:val="sr-Cyrl-CS"/>
        </w:rPr>
      </w:pPr>
      <w:r w:rsidRPr="009B3597">
        <w:rPr>
          <w:b/>
          <w:sz w:val="28"/>
          <w:szCs w:val="28"/>
          <w:lang w:val="sr-Cyrl-CS"/>
        </w:rPr>
        <w:t>ЦИЉЕВИ И ПРИОРИТЕТИ ПОЛИТИКЕ ЗАПОШЉАВАЊА</w:t>
      </w:r>
    </w:p>
    <w:p w:rsidR="00D55EFE" w:rsidRPr="00FF1538" w:rsidRDefault="00D55EFE" w:rsidP="00D55EFE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55EFE" w:rsidRPr="00844C95" w:rsidRDefault="00D55EFE" w:rsidP="00D55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Подршка успостављању ефикасног, стабилног и одрживог тренда раста запослености, уз усклађивање политике запошљавања и институција тржишта рада са тековинама Европске уније (ЕУ), што представља основни циљ политике запошљавања, пружиће се кроз остваривање појединачних ци</w:t>
      </w:r>
      <w:r>
        <w:rPr>
          <w:rFonts w:ascii="Times New Roman" w:hAnsi="Times New Roman" w:cs="Times New Roman"/>
          <w:sz w:val="24"/>
          <w:szCs w:val="24"/>
          <w:lang w:val="sr-Cyrl-CS"/>
        </w:rPr>
        <w:t>љева политике запошљавања у 2016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 години који су усмерени на: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jc w:val="both"/>
        <w:rPr>
          <w:sz w:val="24"/>
          <w:szCs w:val="24"/>
          <w:lang w:val="sr-Cyrl-CS"/>
        </w:rPr>
      </w:pPr>
      <w:r w:rsidRPr="00844C95">
        <w:rPr>
          <w:sz w:val="24"/>
          <w:szCs w:val="24"/>
          <w:lang w:val="sr-Cyrl-CS"/>
        </w:rPr>
        <w:t>Побољшање услова на тржишту рада и унапређење институција тржишта рада,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sz w:val="24"/>
          <w:szCs w:val="24"/>
          <w:lang w:val="sr-Cyrl-CS"/>
        </w:rPr>
      </w:pPr>
      <w:r w:rsidRPr="00844C95">
        <w:rPr>
          <w:sz w:val="24"/>
          <w:szCs w:val="24"/>
          <w:lang w:val="sr-Cyrl-CS"/>
        </w:rPr>
        <w:lastRenderedPageBreak/>
        <w:t>Подстицање запошљавања и социјалног укључивања теже запошљивих лица и подршку регионалној и локалној политици запошљавања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sz w:val="24"/>
          <w:szCs w:val="24"/>
          <w:lang w:val="sr-Cyrl-CS"/>
        </w:rPr>
      </w:pPr>
      <w:r w:rsidRPr="00844C95">
        <w:rPr>
          <w:sz w:val="24"/>
          <w:szCs w:val="24"/>
          <w:lang w:val="sr-Cyrl-CS"/>
        </w:rPr>
        <w:t>Унапређење квалитета радне снаге и улагање у људски капитал.</w:t>
      </w:r>
    </w:p>
    <w:p w:rsidR="00D55EFE" w:rsidRPr="00844C95" w:rsidRDefault="00D55EFE" w:rsidP="00D5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На одређивање конкретних приоритета за деловање у оквиру овако дефинисаних циљева утичу многобројни фактори, од којих су најзначајнији: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jc w:val="both"/>
        <w:rPr>
          <w:sz w:val="24"/>
          <w:szCs w:val="24"/>
          <w:lang w:val="sr-Cyrl-CS"/>
        </w:rPr>
      </w:pPr>
      <w:r w:rsidRPr="00844C95">
        <w:rPr>
          <w:sz w:val="24"/>
          <w:szCs w:val="24"/>
          <w:lang w:val="sr-Cyrl-CS"/>
        </w:rPr>
        <w:t xml:space="preserve"> стање на тржишту рада на основу показатеља Анкете о радној снази,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jc w:val="both"/>
        <w:rPr>
          <w:sz w:val="24"/>
          <w:szCs w:val="24"/>
          <w:lang w:val="sr-Cyrl-CS"/>
        </w:rPr>
      </w:pPr>
      <w:r w:rsidRPr="00844C95">
        <w:rPr>
          <w:sz w:val="24"/>
          <w:szCs w:val="24"/>
          <w:lang w:val="sr-Cyrl-CS"/>
        </w:rPr>
        <w:t xml:space="preserve"> идентификовани кључни изазови и препреке на странама тражње за радом и понуде рада, 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sz w:val="24"/>
          <w:szCs w:val="24"/>
          <w:lang w:val="sr-Cyrl-CS"/>
        </w:rPr>
      </w:pPr>
      <w:r w:rsidRPr="00844C95">
        <w:rPr>
          <w:sz w:val="24"/>
          <w:szCs w:val="24"/>
          <w:lang w:val="sr-Cyrl-CS"/>
        </w:rPr>
        <w:t>друге информације о текућим и очекиваним кретањима на тржишту рада које потичу од Националне службе за запошљавање, Републичког завода за статистику.</w:t>
      </w:r>
    </w:p>
    <w:p w:rsidR="00D55EFE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Pr="00C2183E" w:rsidRDefault="00D55EFE" w:rsidP="00D55EFE">
      <w:pPr>
        <w:pStyle w:val="ListParagraph"/>
        <w:numPr>
          <w:ilvl w:val="0"/>
          <w:numId w:val="4"/>
        </w:numPr>
        <w:tabs>
          <w:tab w:val="clear" w:pos="0"/>
        </w:tabs>
        <w:autoSpaceDE/>
        <w:autoSpaceDN/>
        <w:adjustRightInd/>
        <w:spacing w:after="200" w:line="276" w:lineRule="auto"/>
        <w:rPr>
          <w:b/>
          <w:sz w:val="28"/>
          <w:szCs w:val="28"/>
          <w:lang w:val="sr-Cyrl-CS"/>
        </w:rPr>
      </w:pPr>
      <w:r w:rsidRPr="00C2183E">
        <w:rPr>
          <w:b/>
          <w:sz w:val="28"/>
          <w:szCs w:val="28"/>
          <w:lang w:val="sr-Cyrl-CS"/>
        </w:rPr>
        <w:t xml:space="preserve">ПРОГРАМИ </w:t>
      </w:r>
      <w:r w:rsidRPr="00C2183E">
        <w:rPr>
          <w:b/>
          <w:sz w:val="28"/>
          <w:szCs w:val="28"/>
        </w:rPr>
        <w:t xml:space="preserve"> </w:t>
      </w:r>
      <w:r w:rsidRPr="00C2183E">
        <w:rPr>
          <w:b/>
          <w:sz w:val="28"/>
          <w:szCs w:val="28"/>
          <w:lang w:val="sr-Cyrl-CS"/>
        </w:rPr>
        <w:t>И МЕРЕ АКТИВНЕ ПОЛИТИКЕ  ЗАПОШЉАВАЊА НА ТЕРИТОРИЈИ ОПШТИНЕ ГАЏИН ХАН</w:t>
      </w:r>
    </w:p>
    <w:p w:rsidR="00D55EFE" w:rsidRPr="00844C95" w:rsidRDefault="00D55EFE" w:rsidP="00D55EFE">
      <w:pPr>
        <w:pStyle w:val="BodyTextIndent"/>
        <w:ind w:left="0"/>
        <w:rPr>
          <w:lang w:val="sr-Cyrl-CS"/>
        </w:rPr>
      </w:pPr>
    </w:p>
    <w:p w:rsidR="00D55EFE" w:rsidRPr="00844C95" w:rsidRDefault="00D55EFE" w:rsidP="00D55EFE">
      <w:pPr>
        <w:pStyle w:val="BodyTextIndent"/>
        <w:ind w:left="0"/>
        <w:rPr>
          <w:lang w:val="sr-Cyrl-CS"/>
        </w:rPr>
      </w:pPr>
      <w:r w:rsidRPr="00844C95">
        <w:rPr>
          <w:lang w:val="sr-Latn-CS"/>
        </w:rPr>
        <w:t xml:space="preserve">Мере активне политике запошљавања </w:t>
      </w:r>
      <w:r w:rsidRPr="00844C95">
        <w:rPr>
          <w:lang w:val="sr-Cyrl-CS"/>
        </w:rPr>
        <w:t xml:space="preserve">општине Гаџин Хан </w:t>
      </w:r>
      <w:r w:rsidRPr="00844C95">
        <w:rPr>
          <w:lang w:val="sr-Latn-CS"/>
        </w:rPr>
        <w:t>су: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Субвенције за самозапошљавање,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 w:rsidRPr="00844C95">
        <w:rPr>
          <w:lang w:val="sr-Cyrl-CS"/>
        </w:rPr>
        <w:t>Јавни радови,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t>Програм стручне праксе,</w:t>
      </w:r>
    </w:p>
    <w:p w:rsidR="00D55EFE" w:rsidRPr="00844C95" w:rsidRDefault="00D55EFE" w:rsidP="00D55EFE">
      <w:pPr>
        <w:pStyle w:val="ListParagraph"/>
        <w:numPr>
          <w:ilvl w:val="0"/>
          <w:numId w:val="3"/>
        </w:numPr>
        <w:tabs>
          <w:tab w:val="clear" w:pos="0"/>
        </w:tabs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t>Субвенције за</w:t>
      </w:r>
      <w:r>
        <w:t xml:space="preserve"> </w:t>
      </w:r>
      <w:r>
        <w:rPr>
          <w:lang w:val="sr-Cyrl-CS"/>
        </w:rPr>
        <w:t>запошљавање незапослених лица из категорије теже запошљивих</w:t>
      </w:r>
    </w:p>
    <w:p w:rsidR="00D55EFE" w:rsidRDefault="00D55EFE" w:rsidP="00D55EFE">
      <w:pPr>
        <w:rPr>
          <w:rFonts w:ascii="Times New Roman" w:hAnsi="Times New Roman" w:cs="Times New Roman"/>
          <w:b/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Субвенције за самозапошљавање</w:t>
      </w:r>
    </w:p>
    <w:p w:rsidR="00D55EFE" w:rsidRPr="00844C95" w:rsidRDefault="00D55EFE" w:rsidP="00D55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Подршка самозапошљавању подразумева пружање стручне помоћи, обуку из области предузетништва и субвенцију за самозапошљавање. Средства за самозапошљавање се одобравају у виду субвенције ради оснивања радње, задруге, или другог облика предузетништва, од стране незапосленог или удруживањем више незапослених, као и за оснивање привредног друштва уколико оснивач заснива у њему радни однос.</w:t>
      </w:r>
    </w:p>
    <w:p w:rsidR="00D55EFE" w:rsidRPr="00844C95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Јавни радови</w:t>
      </w:r>
    </w:p>
    <w:p w:rsidR="00D55EFE" w:rsidRPr="00844C95" w:rsidRDefault="00D55EFE" w:rsidP="00D55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Јавни радови се организују у циљу запошљавања првенствено теже запошљивих незапослених лица и незапослених у стању социјалне потребе, очувања и унапређења радних способности незапослених, као и ради остваривања одређеног друштвеног интереса. </w:t>
      </w:r>
    </w:p>
    <w:p w:rsidR="00D55EFE" w:rsidRPr="00844C95" w:rsidRDefault="00D55EFE" w:rsidP="00D55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844C95" w:rsidRDefault="00D55EFE" w:rsidP="00D55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Средства намењена за организовање јавних радова користе се за накнаду трошкова зарада незапослених лица укључених у јавне радове, трошкова спровођења јавних радова и трошкове превоза. Трошкови зараде не могу бити нижи од минималне зараде утврђене у складу са прописима о раду, а одређују се у зависности од врсте послова за који се захтева одговарајући ниво образовања и расположивих средстава за ову меру.</w:t>
      </w:r>
    </w:p>
    <w:p w:rsidR="00D55EFE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lang w:val="sr-Cyrl-CS"/>
        </w:rPr>
      </w:pPr>
    </w:p>
    <w:p w:rsidR="00D55EFE" w:rsidRPr="00844C95" w:rsidRDefault="00D55EFE" w:rsidP="00D55EF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Стручна пракса код приватног послодавца</w:t>
      </w:r>
    </w:p>
    <w:p w:rsidR="00D55EFE" w:rsidRDefault="00D55EFE" w:rsidP="00D55EFE">
      <w:pPr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  <w:r w:rsidRPr="00844C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  <w:t xml:space="preserve"> Овај програм подразумева оспособљавање за самосталан рад у струци без заснивања радног односа. Програм траје у складу са законом а најдуже 24 месеца.</w:t>
      </w:r>
    </w:p>
    <w:p w:rsidR="00D55EFE" w:rsidRDefault="00D55EFE" w:rsidP="00D55EFE">
      <w:pPr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</w:p>
    <w:p w:rsidR="00D55EFE" w:rsidRPr="00084A43" w:rsidRDefault="00D55EFE" w:rsidP="00D55EFE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</w:pPr>
      <w:r w:rsidRPr="00084A4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>Субвенције за запошљавање незапослених лица из категорије теже запошљивих</w:t>
      </w:r>
    </w:p>
    <w:p w:rsidR="00D55EFE" w:rsidRPr="00844C95" w:rsidRDefault="00D55EFE" w:rsidP="00D55EF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  <w:tab/>
        <w:t>Послодавци који припадају приватном сектору, првенствено мала и средња предузећа, могу за запошљавање незапослених лица из категорије теже запошљивих остварити субвенцију за запошљавање на новоотвореним радним местима у једнократном износу.</w:t>
      </w:r>
    </w:p>
    <w:p w:rsidR="00D55EFE" w:rsidRPr="00844C95" w:rsidRDefault="00D55EFE" w:rsidP="00D55EF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</w:p>
    <w:p w:rsidR="00D55EFE" w:rsidRPr="00E71901" w:rsidRDefault="00D55EFE" w:rsidP="00D55EFE">
      <w:pPr>
        <w:pStyle w:val="ListParagraph"/>
        <w:numPr>
          <w:ilvl w:val="0"/>
          <w:numId w:val="4"/>
        </w:numPr>
        <w:tabs>
          <w:tab w:val="clear" w:pos="0"/>
        </w:tabs>
        <w:autoSpaceDE/>
        <w:autoSpaceDN/>
        <w:adjustRightInd/>
        <w:spacing w:after="200" w:line="276" w:lineRule="auto"/>
        <w:rPr>
          <w:b/>
          <w:iCs/>
          <w:sz w:val="24"/>
          <w:szCs w:val="24"/>
          <w:shd w:val="clear" w:color="auto" w:fill="FFFFFF"/>
          <w:lang w:val="sr-Cyrl-CS"/>
        </w:rPr>
      </w:pPr>
      <w:r w:rsidRPr="00E71901">
        <w:rPr>
          <w:b/>
          <w:iCs/>
          <w:sz w:val="24"/>
          <w:szCs w:val="24"/>
          <w:shd w:val="clear" w:color="auto" w:fill="FFFFFF"/>
          <w:lang w:val="sr-Cyrl-CS"/>
        </w:rPr>
        <w:t>СРЕДСТВА</w:t>
      </w:r>
    </w:p>
    <w:p w:rsidR="00D55EFE" w:rsidRPr="00844C95" w:rsidRDefault="00D55EFE" w:rsidP="00D55EFE">
      <w:pPr>
        <w:pStyle w:val="BodyTextFirstIndent"/>
        <w:ind w:firstLine="720"/>
        <w:rPr>
          <w:lang w:val="sr-Cyrl-CS"/>
        </w:rPr>
      </w:pPr>
      <w:r w:rsidRPr="00844C95">
        <w:rPr>
          <w:lang w:val="sr-Latn-CS"/>
        </w:rPr>
        <w:t xml:space="preserve">Финансирање активне политике запошљавања обавља се из средстава буџета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, средстава поклона, донација, кредита и других извора. Потребна средства за реализацију програма и мера активне политике запошљавања у спровођење </w:t>
      </w:r>
      <w:r w:rsidRPr="00844C95">
        <w:rPr>
          <w:lang w:val="sr-Cyrl-CS"/>
        </w:rPr>
        <w:t>Л</w:t>
      </w:r>
      <w:r w:rsidRPr="00844C95">
        <w:rPr>
          <w:lang w:val="sr-Latn-CS"/>
        </w:rPr>
        <w:t>окалног</w:t>
      </w:r>
      <w:r w:rsidRPr="00844C95">
        <w:rPr>
          <w:lang w:val="sr-Cyrl-CS"/>
        </w:rPr>
        <w:t xml:space="preserve"> акционог</w:t>
      </w:r>
      <w:r w:rsidRPr="00844C95">
        <w:rPr>
          <w:lang w:val="sr-Latn-CS"/>
        </w:rPr>
        <w:t xml:space="preserve"> плана запошљавања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у 201</w:t>
      </w:r>
      <w:r>
        <w:rPr>
          <w:lang w:val="sr-Cyrl-CS"/>
        </w:rPr>
        <w:t>7</w:t>
      </w:r>
      <w:r w:rsidRPr="00844C95">
        <w:rPr>
          <w:lang w:val="sr-Latn-CS"/>
        </w:rPr>
        <w:t>. години биће обезбеђена у бу</w:t>
      </w:r>
      <w:r w:rsidRPr="00844C95">
        <w:rPr>
          <w:lang w:val="sr-Cyrl-CS"/>
        </w:rPr>
        <w:t>џ</w:t>
      </w:r>
      <w:r w:rsidRPr="00844C95">
        <w:rPr>
          <w:lang w:val="sr-Latn-CS"/>
        </w:rPr>
        <w:t xml:space="preserve">ету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</w:t>
      </w:r>
      <w:r>
        <w:rPr>
          <w:lang w:val="sr-Cyrl-CS"/>
        </w:rPr>
        <w:t>у износу од 3</w:t>
      </w:r>
      <w:r w:rsidRPr="00844C95">
        <w:rPr>
          <w:lang w:val="sr-Cyrl-CS"/>
        </w:rPr>
        <w:t>.000.000 динара</w:t>
      </w:r>
      <w:r w:rsidRPr="00844C95">
        <w:rPr>
          <w:lang w:val="sr-Latn-CS"/>
        </w:rPr>
        <w:t>.</w:t>
      </w:r>
    </w:p>
    <w:p w:rsidR="00D55EFE" w:rsidRPr="00844C95" w:rsidRDefault="00D55EFE" w:rsidP="00D55EFE">
      <w:pPr>
        <w:pStyle w:val="BodyTextFirstIndent"/>
        <w:ind w:firstLine="720"/>
        <w:rPr>
          <w:lang w:val="sr-Cyrl-CS"/>
        </w:rPr>
      </w:pPr>
      <w:r w:rsidRPr="00844C95">
        <w:rPr>
          <w:lang w:val="sr-Cyrl-CS"/>
        </w:rPr>
        <w:t>Мере активне политике запошљавања: субвенције за запошљавање,</w:t>
      </w:r>
      <w:r>
        <w:rPr>
          <w:lang w:val="sr-Cyrl-CS"/>
        </w:rPr>
        <w:t xml:space="preserve"> субвенције за запошљавање незапослених лица из категорије теже запошљивих, </w:t>
      </w:r>
      <w:r w:rsidRPr="00844C95">
        <w:rPr>
          <w:lang w:val="sr-Cyrl-CS"/>
        </w:rPr>
        <w:t xml:space="preserve"> јавни радови и стручна пракса код приватног послодавца финансираће се у сарадњи са Националном службо</w:t>
      </w:r>
      <w:r>
        <w:rPr>
          <w:lang w:val="sr-Cyrl-CS"/>
        </w:rPr>
        <w:t xml:space="preserve">м за запошљавање.  </w:t>
      </w:r>
    </w:p>
    <w:p w:rsidR="00D55EFE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EFE" w:rsidRPr="0069195F" w:rsidRDefault="00D55EFE" w:rsidP="00D55E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87"/>
        <w:gridCol w:w="1800"/>
        <w:gridCol w:w="1846"/>
        <w:gridCol w:w="1867"/>
        <w:gridCol w:w="1846"/>
      </w:tblGrid>
      <w:tr w:rsidR="00D55EFE" w:rsidRPr="00844C95" w:rsidTr="00002275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Мере активне политике запошљавања</w:t>
            </w:r>
          </w:p>
        </w:tc>
      </w:tr>
      <w:tr w:rsidR="00D55EFE" w:rsidRPr="00844C95" w:rsidTr="00002275">
        <w:trPr>
          <w:trHeight w:val="726"/>
        </w:trPr>
        <w:tc>
          <w:tcPr>
            <w:tcW w:w="2187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Пројекат</w:t>
            </w:r>
          </w:p>
        </w:tc>
        <w:tc>
          <w:tcPr>
            <w:tcW w:w="1800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Партнери</w:t>
            </w:r>
          </w:p>
        </w:tc>
        <w:tc>
          <w:tcPr>
            <w:tcW w:w="184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Финансијска средства</w:t>
            </w:r>
          </w:p>
        </w:tc>
        <w:tc>
          <w:tcPr>
            <w:tcW w:w="1867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Извор финансирања</w:t>
            </w:r>
          </w:p>
        </w:tc>
        <w:tc>
          <w:tcPr>
            <w:tcW w:w="1845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Индикатори </w:t>
            </w:r>
          </w:p>
        </w:tc>
      </w:tr>
      <w:tr w:rsidR="00D55EFE" w:rsidRPr="00844C95" w:rsidTr="00002275">
        <w:trPr>
          <w:trHeight w:val="373"/>
        </w:trPr>
        <w:tc>
          <w:tcPr>
            <w:tcW w:w="9546" w:type="dxa"/>
            <w:gridSpan w:val="5"/>
            <w:shd w:val="clear" w:color="auto" w:fill="BFBFBF" w:themeFill="background1" w:themeFillShade="BF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Субвенције за самозапошљавање</w:t>
            </w:r>
          </w:p>
        </w:tc>
      </w:tr>
      <w:tr w:rsidR="00D55EFE" w:rsidRPr="00844C95" w:rsidTr="00002275">
        <w:trPr>
          <w:trHeight w:val="3986"/>
        </w:trPr>
        <w:tc>
          <w:tcPr>
            <w:tcW w:w="2187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Подстицајни програми државе за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запошљавање, самозапошљавање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самозапошљавање специфичних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 : Роми, жене, млади,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</w:t>
            </w:r>
          </w:p>
        </w:tc>
        <w:tc>
          <w:tcPr>
            <w:tcW w:w="1800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нових радних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места на којима су се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запослили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припадници циљне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групе</w:t>
            </w:r>
          </w:p>
        </w:tc>
      </w:tr>
      <w:tr w:rsidR="00D55EFE" w:rsidRPr="00844C95" w:rsidTr="00002275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Јавни радови</w:t>
            </w:r>
          </w:p>
        </w:tc>
      </w:tr>
      <w:tr w:rsidR="00D55EFE" w:rsidRPr="00844C95" w:rsidTr="00002275">
        <w:trPr>
          <w:trHeight w:val="1434"/>
        </w:trPr>
        <w:tc>
          <w:tcPr>
            <w:tcW w:w="2187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Јавни радови </w:t>
            </w:r>
          </w:p>
        </w:tc>
        <w:tc>
          <w:tcPr>
            <w:tcW w:w="1800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Буџет РС</w:t>
            </w:r>
          </w:p>
        </w:tc>
        <w:tc>
          <w:tcPr>
            <w:tcW w:w="1845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незапослених ангажованих на јавном раду</w:t>
            </w:r>
          </w:p>
        </w:tc>
      </w:tr>
      <w:tr w:rsidR="00D55EFE" w:rsidRPr="00844C95" w:rsidTr="00002275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пракса код приватног послодавца</w:t>
            </w:r>
          </w:p>
        </w:tc>
      </w:tr>
      <w:tr w:rsidR="00D55EFE" w:rsidRPr="00844C95" w:rsidTr="00002275">
        <w:trPr>
          <w:trHeight w:val="1453"/>
        </w:trPr>
        <w:tc>
          <w:tcPr>
            <w:tcW w:w="2187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 приправника - Стручна пракса</w:t>
            </w:r>
          </w:p>
        </w:tc>
        <w:tc>
          <w:tcPr>
            <w:tcW w:w="1800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приправника</w:t>
            </w:r>
          </w:p>
        </w:tc>
      </w:tr>
      <w:tr w:rsidR="00D55EFE" w:rsidRPr="00844C95" w:rsidTr="00002275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Субвенције за запошљавање незапослених лица из категорије теже запошљивих</w:t>
            </w:r>
          </w:p>
        </w:tc>
      </w:tr>
      <w:tr w:rsidR="00D55EFE" w:rsidRPr="00844C95" w:rsidTr="00002275">
        <w:trPr>
          <w:trHeight w:val="1403"/>
        </w:trPr>
        <w:tc>
          <w:tcPr>
            <w:tcW w:w="2187" w:type="dxa"/>
            <w:vAlign w:val="center"/>
          </w:tcPr>
          <w:p w:rsidR="00D55EFE" w:rsidRPr="00844C95" w:rsidRDefault="00D55EFE" w:rsidP="0000227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Практична обука</w:t>
            </w:r>
          </w:p>
        </w:tc>
        <w:tc>
          <w:tcPr>
            <w:tcW w:w="1800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6" w:type="dxa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D55EFE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D55EFE" w:rsidRPr="00844C95" w:rsidRDefault="00D55EFE" w:rsidP="0000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приправника из категорије теже запошљивих</w:t>
            </w:r>
          </w:p>
        </w:tc>
      </w:tr>
    </w:tbl>
    <w:p w:rsidR="00D55EFE" w:rsidRPr="001145D3" w:rsidRDefault="00D55EFE" w:rsidP="00D55E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688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CE454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  <w:sz w:val="32"/>
        <w:szCs w:val="32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BE3521"/>
    <w:multiLevelType w:val="multilevel"/>
    <w:tmpl w:val="E348DA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3F7419"/>
    <w:multiLevelType w:val="hybridMultilevel"/>
    <w:tmpl w:val="871CA492"/>
    <w:lvl w:ilvl="0" w:tplc="FD228CD4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95397"/>
    <w:multiLevelType w:val="hybridMultilevel"/>
    <w:tmpl w:val="3B6C1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1DAC"/>
    <w:multiLevelType w:val="hybridMultilevel"/>
    <w:tmpl w:val="53EE6A2A"/>
    <w:lvl w:ilvl="0" w:tplc="E960CEB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B64A75"/>
    <w:multiLevelType w:val="hybridMultilevel"/>
    <w:tmpl w:val="75C6A0B8"/>
    <w:lvl w:ilvl="0" w:tplc="5082E89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802CF"/>
    <w:multiLevelType w:val="hybridMultilevel"/>
    <w:tmpl w:val="6738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136C"/>
    <w:multiLevelType w:val="hybridMultilevel"/>
    <w:tmpl w:val="90CC6652"/>
    <w:lvl w:ilvl="0" w:tplc="FEB2B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E0E0F"/>
    <w:multiLevelType w:val="hybridMultilevel"/>
    <w:tmpl w:val="F98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14FAA"/>
    <w:rsid w:val="0012782A"/>
    <w:rsid w:val="00132507"/>
    <w:rsid w:val="001C0F9A"/>
    <w:rsid w:val="00246013"/>
    <w:rsid w:val="00260E00"/>
    <w:rsid w:val="002B4213"/>
    <w:rsid w:val="00366598"/>
    <w:rsid w:val="003A3AF0"/>
    <w:rsid w:val="004161AE"/>
    <w:rsid w:val="004675EF"/>
    <w:rsid w:val="004B75DA"/>
    <w:rsid w:val="00501CF2"/>
    <w:rsid w:val="00531D60"/>
    <w:rsid w:val="00560235"/>
    <w:rsid w:val="005B39F1"/>
    <w:rsid w:val="006B6994"/>
    <w:rsid w:val="00794507"/>
    <w:rsid w:val="007A2D9E"/>
    <w:rsid w:val="007A71D3"/>
    <w:rsid w:val="00812CDC"/>
    <w:rsid w:val="008D36E6"/>
    <w:rsid w:val="00B2554E"/>
    <w:rsid w:val="00B75A71"/>
    <w:rsid w:val="00B823CE"/>
    <w:rsid w:val="00BA0FB2"/>
    <w:rsid w:val="00BA431C"/>
    <w:rsid w:val="00BB0E14"/>
    <w:rsid w:val="00C52F41"/>
    <w:rsid w:val="00D1695B"/>
    <w:rsid w:val="00D55EFE"/>
    <w:rsid w:val="00D67E5D"/>
    <w:rsid w:val="00E070BF"/>
    <w:rsid w:val="00E56B9C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1">
    <w:name w:val="heading 1"/>
    <w:basedOn w:val="Normal"/>
    <w:next w:val="Normal"/>
    <w:link w:val="Heading1Char"/>
    <w:qFormat/>
    <w:rsid w:val="00D55EFE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E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E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  <w:style w:type="character" w:customStyle="1" w:styleId="Heading1Char">
    <w:name w:val="Heading 1 Char"/>
    <w:basedOn w:val="DefaultParagraphFont"/>
    <w:link w:val="Heading1"/>
    <w:rsid w:val="00D55EFE"/>
    <w:rPr>
      <w:rFonts w:ascii="Times New Roman" w:eastAsia="Times New Roman" w:hAnsi="Times New Roman" w:cs="Times New Roman"/>
      <w:b/>
      <w:bCs/>
      <w:sz w:val="32"/>
      <w:szCs w:val="32"/>
      <w:lang w:val="sl-SI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E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E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D55E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l-SI" w:eastAsia="ar-SA"/>
    </w:rPr>
  </w:style>
  <w:style w:type="character" w:customStyle="1" w:styleId="TitleChar">
    <w:name w:val="Title Char"/>
    <w:basedOn w:val="DefaultParagraphFont"/>
    <w:link w:val="Title"/>
    <w:rsid w:val="00D55EFE"/>
    <w:rPr>
      <w:rFonts w:ascii="Times New Roman" w:eastAsia="Times New Roman" w:hAnsi="Times New Roman" w:cs="Times New Roman"/>
      <w:sz w:val="28"/>
      <w:szCs w:val="24"/>
      <w:lang w:val="sl-SI" w:eastAsia="ar-SA"/>
    </w:rPr>
  </w:style>
  <w:style w:type="paragraph" w:styleId="Subtitle">
    <w:name w:val="Subtitle"/>
    <w:basedOn w:val="Normal"/>
    <w:next w:val="BodyText"/>
    <w:link w:val="SubtitleChar"/>
    <w:qFormat/>
    <w:rsid w:val="00D55EF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D55EF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D55E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5EFE"/>
  </w:style>
  <w:style w:type="paragraph" w:styleId="BalloonText">
    <w:name w:val="Balloon Text"/>
    <w:basedOn w:val="Normal"/>
    <w:link w:val="BalloonTextChar"/>
    <w:uiPriority w:val="99"/>
    <w:semiHidden/>
    <w:unhideWhenUsed/>
    <w:rsid w:val="00D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FE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55EFE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D55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2">
    <w:name w:val="List 2"/>
    <w:basedOn w:val="Normal"/>
    <w:rsid w:val="00D55EF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D55E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D55EFE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D55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D55EFE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D55E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EFE"/>
  </w:style>
  <w:style w:type="paragraph" w:styleId="Footer">
    <w:name w:val="footer"/>
    <w:basedOn w:val="Normal"/>
    <w:link w:val="FooterChar"/>
    <w:uiPriority w:val="99"/>
    <w:unhideWhenUsed/>
    <w:rsid w:val="00D5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FE"/>
  </w:style>
  <w:style w:type="character" w:customStyle="1" w:styleId="ListParagraphChar">
    <w:name w:val="List Paragraph Char"/>
    <w:link w:val="ListParagraph"/>
    <w:uiPriority w:val="99"/>
    <w:locked/>
    <w:rsid w:val="00D55EFE"/>
    <w:rPr>
      <w:rFonts w:ascii="Times New Roman" w:eastAsia="Lucida Sans Unicode" w:hAnsi="Times New Roman" w:cs="Times New Roman"/>
      <w:kern w:val="1"/>
    </w:rPr>
  </w:style>
  <w:style w:type="paragraph" w:styleId="BodyTextIndent">
    <w:name w:val="Body Text Indent"/>
    <w:basedOn w:val="Normal"/>
    <w:link w:val="BodyTextIndentChar"/>
    <w:rsid w:val="00D55E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55E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chart" Target="charts/chart5.xml"/><Relationship Id="rId10" Type="http://schemas.openxmlformats.org/officeDocument/2006/relationships/hyperlink" Target="http://sh.wikipedia.org/wiki/Hek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dzinhan.rs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O%20STEPENU%20STRU&#268;NE%20SPREME%20I%20POLU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O%20STAROSTI%20I%20POLU%20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O%20STEPENU%20STRU&#268;NE%20SPREME%20I%20POLU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REMA%20TRAJANJU%20NEZAPOSLENOSTI%20I%20POL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Просечан годишњи пад становништва на 1.000 становника</a:t>
            </a:r>
          </a:p>
        </c:rich>
      </c:tx>
      <c:layout>
        <c:manualLayout>
          <c:xMode val="edge"/>
          <c:yMode val="edge"/>
          <c:x val="0.13812154696132597"/>
          <c:y val="1.9607843137254902E-2"/>
        </c:manualLayout>
      </c:layout>
      <c:spPr>
        <a:noFill/>
        <a:ln w="25399">
          <a:noFill/>
        </a:ln>
      </c:spPr>
    </c:title>
    <c:view3D>
      <c:hPercent val="243"/>
      <c:depthPercent val="100"/>
      <c:rAngAx val="1"/>
    </c:view3D>
    <c:floor>
      <c:spPr>
        <a:noFill/>
        <a:ln w="9525">
          <a:noFill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521178637200925"/>
          <c:y val="0.16013071895424755"/>
          <c:w val="0.79189686924493552"/>
          <c:h val="0.64052287581699341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Prosečno godišnje na 1000 stanovnika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0.11063073441437024"/>
                  <c:y val="-4.5816452764701676E-3"/>
                </c:manualLayout>
              </c:layout>
              <c:showVal val="1"/>
            </c:dLbl>
            <c:dLbl>
              <c:idx val="1"/>
              <c:layout>
                <c:manualLayout>
                  <c:x val="-0.10501155080630664"/>
                  <c:y val="-1.3129711168829043E-2"/>
                </c:manualLayout>
              </c:layout>
              <c:showVal val="1"/>
            </c:dLbl>
            <c:dLbl>
              <c:idx val="2"/>
              <c:layout>
                <c:manualLayout>
                  <c:x val="-0.10858733818493695"/>
                  <c:y val="-2.494575091739750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Република Србија</c:v>
                </c:pt>
                <c:pt idx="1">
                  <c:v>Гаџин Хан</c:v>
                </c:pt>
                <c:pt idx="2">
                  <c:v>Нишавски округ</c:v>
                </c:pt>
              </c:strCache>
            </c:strRef>
          </c:cat>
          <c:val>
            <c:numRef>
              <c:f>Sheet1!$B$2:$D$2</c:f>
              <c:numCache>
                <c:formatCode>#,##0.00_ ;[Red]\-#,##0.00\ </c:formatCode>
                <c:ptCount val="3"/>
                <c:pt idx="0">
                  <c:v>-1</c:v>
                </c:pt>
                <c:pt idx="1">
                  <c:v>-17.399999999999999</c:v>
                </c:pt>
                <c:pt idx="2">
                  <c:v>-1.9000000000000001</c:v>
                </c:pt>
              </c:numCache>
            </c:numRef>
          </c:val>
        </c:ser>
        <c:dLbls>
          <c:showVal val="1"/>
        </c:dLbls>
        <c:gapWidth val="50"/>
        <c:shape val="box"/>
        <c:axId val="112763264"/>
        <c:axId val="112764800"/>
        <c:axId val="0"/>
      </c:bar3DChart>
      <c:catAx>
        <c:axId val="112763264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2764800"/>
        <c:crosses val="autoZero"/>
        <c:auto val="1"/>
        <c:lblAlgn val="ctr"/>
        <c:lblOffset val="100"/>
        <c:tickLblSkip val="1"/>
        <c:tickMarkSkip val="1"/>
      </c:catAx>
      <c:valAx>
        <c:axId val="112764800"/>
        <c:scaling>
          <c:orientation val="minMax"/>
          <c:max val="1"/>
          <c:min val="-7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2763264"/>
        <c:crosses val="autoZero"/>
        <c:crossBetween val="between"/>
        <c:majorUnit val="1"/>
        <c:minorUnit val="0.5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39316239316252"/>
          <c:y val="0.10426540284360303"/>
          <c:w val="0.69444444444444464"/>
          <c:h val="0.606635071090051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ха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Жито</c:v>
                </c:pt>
                <c:pt idx="1">
                  <c:v>Повртарство</c:v>
                </c:pt>
                <c:pt idx="2">
                  <c:v>Крмно биље</c:v>
                </c:pt>
                <c:pt idx="3">
                  <c:v>Воћњаци</c:v>
                </c:pt>
                <c:pt idx="4">
                  <c:v>Виногради</c:v>
                </c:pt>
                <c:pt idx="5">
                  <c:v>Ливаде</c:v>
                </c:pt>
                <c:pt idx="6">
                  <c:v>Пашњаци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3837</c:v>
                </c:pt>
                <c:pt idx="1">
                  <c:v>1168</c:v>
                </c:pt>
                <c:pt idx="2">
                  <c:v>3419</c:v>
                </c:pt>
                <c:pt idx="3">
                  <c:v>1200</c:v>
                </c:pt>
                <c:pt idx="4">
                  <c:v>270</c:v>
                </c:pt>
                <c:pt idx="5">
                  <c:v>2029</c:v>
                </c:pt>
                <c:pt idx="6">
                  <c:v>4959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316239316239582"/>
          <c:y val="0.78199052132701419"/>
          <c:w val="0.71367521367522357"/>
          <c:h val="0.203791469194314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>
        <c:manualLayout>
          <c:layoutTarget val="inner"/>
          <c:xMode val="edge"/>
          <c:yMode val="edge"/>
          <c:x val="2.4635046957460195E-2"/>
          <c:y val="8.1708395146259591E-2"/>
          <c:w val="0.74684947455499195"/>
          <c:h val="0.91829155060353518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data_Page_GRAFIKON_OKRUG_2_3!$B$1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Ref>
              <c:f>data_Page_GRAFIKON_OKRUG_2_3!$A$2:$A$13</c:f>
              <c:strCache>
                <c:ptCount val="12"/>
                <c:pt idx="0">
                  <c:v>Aleksinac</c:v>
                </c:pt>
                <c:pt idx="1">
                  <c:v>Gadžin Han</c:v>
                </c:pt>
                <c:pt idx="2">
                  <c:v>Doljevac</c:v>
                </c:pt>
                <c:pt idx="3">
                  <c:v>Merošina</c:v>
                </c:pt>
                <c:pt idx="4">
                  <c:v>Niš</c:v>
                </c:pt>
                <c:pt idx="5">
                  <c:v>Ražanj</c:v>
                </c:pt>
                <c:pt idx="6">
                  <c:v>Svrljig</c:v>
                </c:pt>
                <c:pt idx="7">
                  <c:v>Niš-Niška Banja</c:v>
                </c:pt>
                <c:pt idx="8">
                  <c:v>Niš-Pantelej</c:v>
                </c:pt>
                <c:pt idx="9">
                  <c:v>Niš-Crveni Krst</c:v>
                </c:pt>
                <c:pt idx="10">
                  <c:v>Niš-Palilula</c:v>
                </c:pt>
                <c:pt idx="11">
                  <c:v>Niš-Mediana</c:v>
                </c:pt>
              </c:strCache>
            </c:strRef>
          </c:cat>
          <c:val>
            <c:numRef>
              <c:f>data_Page_GRAFIKON_OKRUG_2_3!$B$2:$B$13</c:f>
              <c:numCache>
                <c:formatCode>General</c:formatCode>
                <c:ptCount val="12"/>
                <c:pt idx="0">
                  <c:v>7398</c:v>
                </c:pt>
                <c:pt idx="1">
                  <c:v>1226</c:v>
                </c:pt>
                <c:pt idx="2">
                  <c:v>2813</c:v>
                </c:pt>
                <c:pt idx="3">
                  <c:v>2440</c:v>
                </c:pt>
                <c:pt idx="4">
                  <c:v>0</c:v>
                </c:pt>
                <c:pt idx="5">
                  <c:v>678</c:v>
                </c:pt>
                <c:pt idx="6">
                  <c:v>1792</c:v>
                </c:pt>
                <c:pt idx="7">
                  <c:v>2619</c:v>
                </c:pt>
                <c:pt idx="8">
                  <c:v>6499</c:v>
                </c:pt>
                <c:pt idx="9">
                  <c:v>4939</c:v>
                </c:pt>
                <c:pt idx="10">
                  <c:v>10220</c:v>
                </c:pt>
                <c:pt idx="11">
                  <c:v>10011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116143232"/>
        <c:axId val="116144768"/>
      </c:barChart>
      <c:catAx>
        <c:axId val="116143232"/>
        <c:scaling>
          <c:orientation val="minMax"/>
        </c:scaling>
        <c:delete val="1"/>
        <c:axPos val="b"/>
        <c:majorTickMark val="none"/>
        <c:minorTickMark val="cross"/>
        <c:tickLblPos val="low"/>
        <c:crossAx val="116144768"/>
        <c:crosses val="autoZero"/>
        <c:auto val="1"/>
        <c:lblAlgn val="ctr"/>
        <c:lblOffset val="100"/>
        <c:noMultiLvlLbl val="1"/>
      </c:catAx>
      <c:valAx>
        <c:axId val="116144768"/>
        <c:scaling>
          <c:orientation val="minMax"/>
        </c:scaling>
        <c:delete val="1"/>
        <c:axPos val="l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minorTickMark val="cross"/>
        <c:tickLblPos val="nextTo"/>
        <c:crossAx val="116143232"/>
        <c:crosses val="autoZero"/>
        <c:crossBetween val="between"/>
      </c:valAx>
      <c:spPr>
        <a:noFill/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Ukupno</c:v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Lit>
              <c:ptCount val="11"/>
              <c:pt idx="0">
                <c:v>15 - 19 godina</c:v>
              </c:pt>
              <c:pt idx="1">
                <c:v>20 - 24 godine</c:v>
              </c:pt>
              <c:pt idx="2">
                <c:v>25 - 29 godina</c:v>
              </c:pt>
              <c:pt idx="3">
                <c:v>30 - 34 godine</c:v>
              </c:pt>
              <c:pt idx="4">
                <c:v>35 - 39 godina</c:v>
              </c:pt>
              <c:pt idx="5">
                <c:v>40 - 44 godine</c:v>
              </c:pt>
              <c:pt idx="6">
                <c:v>45 - 49 godina</c:v>
              </c:pt>
              <c:pt idx="7">
                <c:v>50 - 54 godine</c:v>
              </c:pt>
              <c:pt idx="8">
                <c:v>55 - 59 godina</c:v>
              </c:pt>
              <c:pt idx="9">
                <c:v>60 - 64 godine</c:v>
              </c:pt>
              <c:pt idx="10">
                <c:v>65 i više godina</c:v>
              </c:pt>
            </c:strLit>
          </c:cat>
          <c:val>
            <c:numLit>
              <c:formatCode>General</c:formatCode>
              <c:ptCount val="11"/>
              <c:pt idx="0">
                <c:v>1305</c:v>
              </c:pt>
              <c:pt idx="1">
                <c:v>5523</c:v>
              </c:pt>
              <c:pt idx="2">
                <c:v>6993</c:v>
              </c:pt>
              <c:pt idx="3">
                <c:v>6332</c:v>
              </c:pt>
              <c:pt idx="4">
                <c:v>6147</c:v>
              </c:pt>
              <c:pt idx="5">
                <c:v>5639</c:v>
              </c:pt>
              <c:pt idx="6">
                <c:v>5679</c:v>
              </c:pt>
              <c:pt idx="7">
                <c:v>5641</c:v>
              </c:pt>
              <c:pt idx="8">
                <c:v>5056</c:v>
              </c:pt>
              <c:pt idx="9">
                <c:v>2320</c:v>
              </c:pt>
              <c:pt idx="10">
                <c:v>0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1"/>
          <c:order val="1"/>
          <c:tx>
            <c:v>Žene</c:v>
          </c:tx>
          <c:spPr>
            <a:solidFill>
              <a:srgbClr val="CC9933"/>
            </a:solidFill>
            <a:ln>
              <a:noFill/>
            </a:ln>
          </c:spPr>
          <c:invertIfNegative val="1"/>
          <c:cat>
            <c:strLit>
              <c:ptCount val="11"/>
              <c:pt idx="0">
                <c:v>15 - 19 godina</c:v>
              </c:pt>
              <c:pt idx="1">
                <c:v>20 - 24 godine</c:v>
              </c:pt>
              <c:pt idx="2">
                <c:v>25 - 29 godina</c:v>
              </c:pt>
              <c:pt idx="3">
                <c:v>30 - 34 godine</c:v>
              </c:pt>
              <c:pt idx="4">
                <c:v>35 - 39 godina</c:v>
              </c:pt>
              <c:pt idx="5">
                <c:v>40 - 44 godine</c:v>
              </c:pt>
              <c:pt idx="6">
                <c:v>45 - 49 godina</c:v>
              </c:pt>
              <c:pt idx="7">
                <c:v>50 - 54 godine</c:v>
              </c:pt>
              <c:pt idx="8">
                <c:v>55 - 59 godina</c:v>
              </c:pt>
              <c:pt idx="9">
                <c:v>60 - 64 godine</c:v>
              </c:pt>
              <c:pt idx="10">
                <c:v>65 i više godina</c:v>
              </c:pt>
            </c:strLit>
          </c:cat>
          <c:val>
            <c:numLit>
              <c:formatCode>General</c:formatCode>
              <c:ptCount val="11"/>
              <c:pt idx="0">
                <c:v>502</c:v>
              </c:pt>
              <c:pt idx="1">
                <c:v>2320</c:v>
              </c:pt>
              <c:pt idx="2">
                <c:v>3403</c:v>
              </c:pt>
              <c:pt idx="3">
                <c:v>3231</c:v>
              </c:pt>
              <c:pt idx="4">
                <c:v>3022</c:v>
              </c:pt>
              <c:pt idx="5">
                <c:v>2847</c:v>
              </c:pt>
              <c:pt idx="6">
                <c:v>2859</c:v>
              </c:pt>
              <c:pt idx="7">
                <c:v>2686</c:v>
              </c:pt>
              <c:pt idx="8">
                <c:v>1929</c:v>
              </c:pt>
              <c:pt idx="9">
                <c:v>158</c:v>
              </c:pt>
              <c:pt idx="10">
                <c:v>0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116170112"/>
        <c:axId val="116176000"/>
      </c:barChart>
      <c:catAx>
        <c:axId val="116170112"/>
        <c:scaling>
          <c:orientation val="minMax"/>
        </c:scaling>
        <c:axPos val="l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116176000"/>
        <c:crosses val="autoZero"/>
        <c:auto val="1"/>
        <c:lblAlgn val="ctr"/>
        <c:lblOffset val="100"/>
        <c:noMultiLvlLbl val="1"/>
      </c:catAx>
      <c:valAx>
        <c:axId val="116176000"/>
        <c:scaling>
          <c:orientation val="minMax"/>
        </c:scaling>
        <c:axPos val="b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116170112"/>
        <c:crosses val="autoZero"/>
        <c:crossBetween val="between"/>
      </c:valAx>
      <c:spPr>
        <a:noFill/>
      </c:spPr>
    </c:plotArea>
    <c:legend>
      <c:legendPos val="r"/>
      <c:overlay val="1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data_Page_GRAFIKON_OKRUG_2_4!$B$1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Ref>
              <c:f>data_Page_GRAFIKON_OKRUG_2_4!$A$2:$A$13</c:f>
              <c:strCache>
                <c:ptCount val="12"/>
                <c:pt idx="0">
                  <c:v>Aleksinac</c:v>
                </c:pt>
                <c:pt idx="1">
                  <c:v>Gadžin Han</c:v>
                </c:pt>
                <c:pt idx="2">
                  <c:v>Doljevac</c:v>
                </c:pt>
                <c:pt idx="3">
                  <c:v>Merošina</c:v>
                </c:pt>
                <c:pt idx="4">
                  <c:v>Niš</c:v>
                </c:pt>
                <c:pt idx="5">
                  <c:v>Ražanj</c:v>
                </c:pt>
                <c:pt idx="6">
                  <c:v>Svrljig</c:v>
                </c:pt>
                <c:pt idx="7">
                  <c:v>Niš-Niška Banja</c:v>
                </c:pt>
                <c:pt idx="8">
                  <c:v>Niš-Pantelej</c:v>
                </c:pt>
                <c:pt idx="9">
                  <c:v>Niš-Crveni Krst</c:v>
                </c:pt>
                <c:pt idx="10">
                  <c:v>Niš-Palilula</c:v>
                </c:pt>
                <c:pt idx="11">
                  <c:v>Niš-Mediana</c:v>
                </c:pt>
              </c:strCache>
            </c:strRef>
          </c:cat>
          <c:val>
            <c:numRef>
              <c:f>data_Page_GRAFIKON_OKRUG_2_4!$B$2:$B$13</c:f>
              <c:numCache>
                <c:formatCode>General</c:formatCode>
                <c:ptCount val="12"/>
                <c:pt idx="0">
                  <c:v>3280</c:v>
                </c:pt>
                <c:pt idx="1">
                  <c:v>495</c:v>
                </c:pt>
                <c:pt idx="2">
                  <c:v>1178</c:v>
                </c:pt>
                <c:pt idx="3">
                  <c:v>1110</c:v>
                </c:pt>
                <c:pt idx="4">
                  <c:v>0</c:v>
                </c:pt>
                <c:pt idx="5">
                  <c:v>312</c:v>
                </c:pt>
                <c:pt idx="6">
                  <c:v>799</c:v>
                </c:pt>
                <c:pt idx="7">
                  <c:v>1288</c:v>
                </c:pt>
                <c:pt idx="8">
                  <c:v>3054</c:v>
                </c:pt>
                <c:pt idx="9">
                  <c:v>2007</c:v>
                </c:pt>
                <c:pt idx="10">
                  <c:v>4508</c:v>
                </c:pt>
                <c:pt idx="11">
                  <c:v>4926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115999104"/>
        <c:axId val="116000640"/>
      </c:barChart>
      <c:catAx>
        <c:axId val="115999104"/>
        <c:scaling>
          <c:orientation val="minMax"/>
        </c:scaling>
        <c:delete val="1"/>
        <c:axPos val="b"/>
        <c:majorTickMark val="none"/>
        <c:minorTickMark val="cross"/>
        <c:tickLblPos val="low"/>
        <c:crossAx val="116000640"/>
        <c:crosses val="autoZero"/>
        <c:auto val="1"/>
        <c:lblAlgn val="ctr"/>
        <c:lblOffset val="100"/>
        <c:noMultiLvlLbl val="1"/>
      </c:catAx>
      <c:valAx>
        <c:axId val="116000640"/>
        <c:scaling>
          <c:orientation val="minMax"/>
        </c:scaling>
        <c:delete val="1"/>
        <c:axPos val="l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minorTickMark val="cross"/>
        <c:tickLblPos val="nextTo"/>
        <c:crossAx val="115999104"/>
        <c:crosses val="autoZero"/>
        <c:crossBetween val="between"/>
      </c:valAx>
      <c:spPr>
        <a:noFill/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Ukupno</c:v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Lit>
              <c:ptCount val="10"/>
              <c:pt idx="0">
                <c:v>do 3 meseca</c:v>
              </c:pt>
              <c:pt idx="1">
                <c:v>3 do 6 meseci</c:v>
              </c:pt>
              <c:pt idx="2">
                <c:v>6 do 9 meseci</c:v>
              </c:pt>
              <c:pt idx="3">
                <c:v>9 do 12 meseci</c:v>
              </c:pt>
              <c:pt idx="4">
                <c:v>1 do 2 godine</c:v>
              </c:pt>
              <c:pt idx="5">
                <c:v>2 do 3 godine</c:v>
              </c:pt>
              <c:pt idx="6">
                <c:v>3 do 5 godina</c:v>
              </c:pt>
              <c:pt idx="7">
                <c:v>5 do 8 godina</c:v>
              </c:pt>
              <c:pt idx="8">
                <c:v>8 do 10 godina</c:v>
              </c:pt>
              <c:pt idx="9">
                <c:v>preko 10 godina</c:v>
              </c:pt>
            </c:strLit>
          </c:cat>
          <c:val>
            <c:numLit>
              <c:formatCode>General</c:formatCode>
              <c:ptCount val="10"/>
              <c:pt idx="0">
                <c:v>5216</c:v>
              </c:pt>
              <c:pt idx="1">
                <c:v>3367</c:v>
              </c:pt>
              <c:pt idx="2">
                <c:v>2600</c:v>
              </c:pt>
              <c:pt idx="3">
                <c:v>2884</c:v>
              </c:pt>
              <c:pt idx="4">
                <c:v>8656</c:v>
              </c:pt>
              <c:pt idx="5">
                <c:v>6516</c:v>
              </c:pt>
              <c:pt idx="6">
                <c:v>8434</c:v>
              </c:pt>
              <c:pt idx="7">
                <c:v>6328</c:v>
              </c:pt>
              <c:pt idx="8">
                <c:v>2155</c:v>
              </c:pt>
              <c:pt idx="9">
                <c:v>4479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1"/>
          <c:order val="1"/>
          <c:tx>
            <c:v>Žene</c:v>
          </c:tx>
          <c:spPr>
            <a:solidFill>
              <a:srgbClr val="CC9933"/>
            </a:solidFill>
            <a:ln>
              <a:noFill/>
            </a:ln>
          </c:spPr>
          <c:invertIfNegative val="1"/>
          <c:cat>
            <c:strLit>
              <c:ptCount val="10"/>
              <c:pt idx="0">
                <c:v>do 3 meseca</c:v>
              </c:pt>
              <c:pt idx="1">
                <c:v>3 do 6 meseci</c:v>
              </c:pt>
              <c:pt idx="2">
                <c:v>6 do 9 meseci</c:v>
              </c:pt>
              <c:pt idx="3">
                <c:v>9 do 12 meseci</c:v>
              </c:pt>
              <c:pt idx="4">
                <c:v>1 do 2 godine</c:v>
              </c:pt>
              <c:pt idx="5">
                <c:v>2 do 3 godine</c:v>
              </c:pt>
              <c:pt idx="6">
                <c:v>3 do 5 godina</c:v>
              </c:pt>
              <c:pt idx="7">
                <c:v>5 do 8 godina</c:v>
              </c:pt>
              <c:pt idx="8">
                <c:v>8 do 10 godina</c:v>
              </c:pt>
              <c:pt idx="9">
                <c:v>preko 10 godina</c:v>
              </c:pt>
            </c:strLit>
          </c:cat>
          <c:val>
            <c:numLit>
              <c:formatCode>General</c:formatCode>
              <c:ptCount val="10"/>
              <c:pt idx="0">
                <c:v>2292</c:v>
              </c:pt>
              <c:pt idx="1">
                <c:v>1458</c:v>
              </c:pt>
              <c:pt idx="2">
                <c:v>1125</c:v>
              </c:pt>
              <c:pt idx="3">
                <c:v>1189</c:v>
              </c:pt>
              <c:pt idx="4">
                <c:v>3706</c:v>
              </c:pt>
              <c:pt idx="5">
                <c:v>2735</c:v>
              </c:pt>
              <c:pt idx="6">
                <c:v>3603</c:v>
              </c:pt>
              <c:pt idx="7">
                <c:v>2974</c:v>
              </c:pt>
              <c:pt idx="8">
                <c:v>1163</c:v>
              </c:pt>
              <c:pt idx="9">
                <c:v>2712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116021120"/>
        <c:axId val="116022656"/>
      </c:barChart>
      <c:catAx>
        <c:axId val="116021120"/>
        <c:scaling>
          <c:orientation val="minMax"/>
        </c:scaling>
        <c:axPos val="l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116022656"/>
        <c:crosses val="autoZero"/>
        <c:auto val="1"/>
        <c:lblAlgn val="ctr"/>
        <c:lblOffset val="100"/>
        <c:noMultiLvlLbl val="1"/>
      </c:catAx>
      <c:valAx>
        <c:axId val="116022656"/>
        <c:scaling>
          <c:orientation val="minMax"/>
        </c:scaling>
        <c:axPos val="b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116021120"/>
        <c:crosses val="autoZero"/>
        <c:crossBetween val="between"/>
      </c:valAx>
      <c:spPr>
        <a:noFill/>
      </c:spPr>
    </c:plotArea>
    <c:legend>
      <c:legendPos val="r"/>
      <c:overlay val="1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2016-12-23T11:56:00Z</cp:lastPrinted>
  <dcterms:created xsi:type="dcterms:W3CDTF">2016-12-23T12:03:00Z</dcterms:created>
  <dcterms:modified xsi:type="dcterms:W3CDTF">2017-01-04T08:17:00Z</dcterms:modified>
</cp:coreProperties>
</file>