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02" w:rsidRDefault="00224002" w:rsidP="002240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342" w:rsidRPr="000C63EA" w:rsidRDefault="00F53E36" w:rsidP="002240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364F63">
        <w:rPr>
          <w:rFonts w:ascii="Times New Roman" w:hAnsi="Times New Roman" w:cs="Times New Roman"/>
          <w:sz w:val="24"/>
          <w:szCs w:val="24"/>
          <w:lang w:val="sr-Cyrl-CS"/>
        </w:rPr>
        <w:t>“,бр.72/2011,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>88/2013,105/2014,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108/2016</w:t>
      </w:r>
      <w:r w:rsidR="00364F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>113/2017 и 95/2018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 члана 46. Закона о локалној самоуправи („Службе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>ни гласник РС“, број 129/2007,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 xml:space="preserve"> и 47/2018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 члана 3. и 22. став 3.</w:t>
      </w:r>
      <w:r w:rsidR="00D05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ша“, број 78/2012),</w:t>
      </w:r>
    </w:p>
    <w:p w:rsidR="00F53E36" w:rsidRPr="000C63EA" w:rsidRDefault="00F53E36" w:rsidP="00364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на</w:t>
      </w:r>
      <w:r w:rsidR="009F4FE7">
        <w:rPr>
          <w:rFonts w:ascii="Times New Roman" w:hAnsi="Times New Roman" w:cs="Times New Roman"/>
          <w:sz w:val="24"/>
          <w:szCs w:val="24"/>
          <w:lang/>
        </w:rPr>
        <w:t xml:space="preserve"> 106.</w:t>
      </w:r>
      <w:r w:rsidR="009F4F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F4FE7">
        <w:rPr>
          <w:rFonts w:ascii="Times New Roman" w:hAnsi="Times New Roman" w:cs="Times New Roman"/>
          <w:sz w:val="24"/>
          <w:szCs w:val="24"/>
          <w:lang/>
        </w:rPr>
        <w:t>(</w:t>
      </w:r>
      <w:r w:rsidR="009F4FE7">
        <w:rPr>
          <w:rFonts w:ascii="Times New Roman" w:hAnsi="Times New Roman" w:cs="Times New Roman"/>
          <w:sz w:val="24"/>
          <w:szCs w:val="24"/>
          <w:lang/>
        </w:rPr>
        <w:t>стошестој)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</w:t>
      </w:r>
      <w:r w:rsidR="009F4F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F4FE7">
        <w:rPr>
          <w:rFonts w:ascii="Times New Roman" w:hAnsi="Times New Roman" w:cs="Times New Roman"/>
          <w:sz w:val="24"/>
          <w:szCs w:val="24"/>
          <w:lang/>
        </w:rPr>
        <w:t xml:space="preserve">дана </w:t>
      </w:r>
      <w:r w:rsidR="009F4FE7">
        <w:rPr>
          <w:rFonts w:ascii="Times New Roman" w:hAnsi="Times New Roman" w:cs="Times New Roman"/>
          <w:sz w:val="24"/>
          <w:szCs w:val="24"/>
          <w:lang/>
        </w:rPr>
        <w:t>04.02.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870F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364F63" w:rsidRDefault="00364F63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0C63EA" w:rsidRDefault="00F53E36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B5A95" w:rsidRPr="00C90124" w:rsidRDefault="000B5A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>авне својине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, путем непосредне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ради ре</w:t>
      </w:r>
      <w:r w:rsidR="00663C63">
        <w:rPr>
          <w:rFonts w:ascii="Times New Roman" w:hAnsi="Times New Roman" w:cs="Times New Roman"/>
          <w:sz w:val="24"/>
          <w:szCs w:val="24"/>
          <w:lang w:val="sr-Cyrl-CS"/>
        </w:rPr>
        <w:t xml:space="preserve">ализације </w:t>
      </w:r>
      <w:r w:rsidR="00EB7D02">
        <w:rPr>
          <w:rFonts w:ascii="Times New Roman" w:hAnsi="Times New Roman" w:cs="Times New Roman"/>
          <w:sz w:val="24"/>
          <w:szCs w:val="24"/>
          <w:lang w:val="sr-Cyrl-CS"/>
        </w:rPr>
        <w:t>индуст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>ријске зоне –радне зоне „Севе</w:t>
      </w:r>
      <w:r w:rsidR="008F668D">
        <w:rPr>
          <w:rFonts w:ascii="Times New Roman" w:hAnsi="Times New Roman" w:cs="Times New Roman"/>
          <w:sz w:val="24"/>
          <w:szCs w:val="24"/>
        </w:rPr>
        <w:t>р“</w:t>
      </w:r>
      <w:r w:rsidR="00EB7D02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и радне зоне „Топоница“ Топоница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F63" w:rsidRDefault="00364F63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D05400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EB7D02" w:rsidRDefault="000B5A95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ове Одлуке </w:t>
      </w:r>
      <w:r w:rsidR="00C90124">
        <w:rPr>
          <w:rFonts w:ascii="Times New Roman" w:hAnsi="Times New Roman" w:cs="Times New Roman"/>
          <w:sz w:val="24"/>
          <w:szCs w:val="24"/>
          <w:lang w:val="sr-Cyrl-CS"/>
        </w:rPr>
        <w:t xml:space="preserve">је приватно земљиште у грађевинском подручју које се налази на </w:t>
      </w:r>
      <w:r w:rsidR="00EB7D02">
        <w:rPr>
          <w:rFonts w:ascii="Times New Roman" w:hAnsi="Times New Roman" w:cs="Times New Roman"/>
          <w:sz w:val="24"/>
          <w:szCs w:val="24"/>
          <w:lang w:val="sr-Cyrl-CS"/>
        </w:rPr>
        <w:t>катастарским парцелама:</w:t>
      </w:r>
    </w:p>
    <w:p w:rsidR="00364F63" w:rsidRDefault="00364F63" w:rsidP="00EB7D02">
      <w:pPr>
        <w:rPr>
          <w:rFonts w:ascii="Times New Roman" w:hAnsi="Times New Roman" w:cs="Times New Roman"/>
          <w:b/>
          <w:sz w:val="24"/>
          <w:szCs w:val="24"/>
        </w:rPr>
      </w:pPr>
    </w:p>
    <w:p w:rsidR="00EB7D02" w:rsidRPr="00364F63" w:rsidRDefault="00EB7D02" w:rsidP="00EB7D02">
      <w:pPr>
        <w:rPr>
          <w:rFonts w:ascii="Times New Roman" w:hAnsi="Times New Roman" w:cs="Times New Roman"/>
          <w:b/>
          <w:sz w:val="24"/>
          <w:szCs w:val="24"/>
        </w:rPr>
      </w:pPr>
      <w:r w:rsidRPr="00364F63">
        <w:rPr>
          <w:rFonts w:ascii="Times New Roman" w:hAnsi="Times New Roman" w:cs="Times New Roman"/>
          <w:b/>
          <w:sz w:val="24"/>
          <w:szCs w:val="24"/>
        </w:rPr>
        <w:t xml:space="preserve">КО </w:t>
      </w:r>
      <w:proofErr w:type="spellStart"/>
      <w:r w:rsidRPr="00364F63">
        <w:rPr>
          <w:rFonts w:ascii="Times New Roman" w:hAnsi="Times New Roman" w:cs="Times New Roman"/>
          <w:b/>
          <w:sz w:val="24"/>
          <w:szCs w:val="24"/>
        </w:rPr>
        <w:t>Гаџин</w:t>
      </w:r>
      <w:proofErr w:type="spellEnd"/>
      <w:r w:rsidRPr="00364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</w:p>
    <w:p w:rsidR="00EB7D02" w:rsidRPr="00364F63" w:rsidRDefault="00EB7D02" w:rsidP="00364F6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63">
        <w:rPr>
          <w:rFonts w:ascii="Times New Roman" w:hAnsi="Times New Roman" w:cs="Times New Roman"/>
          <w:sz w:val="24"/>
          <w:szCs w:val="24"/>
        </w:rPr>
        <w:t>2990,2991,2994,2996,2995,2993,2997,2998,2999,3000,</w:t>
      </w:r>
      <w:r w:rsidRPr="00364F63">
        <w:rPr>
          <w:rFonts w:ascii="Times New Roman" w:hAnsi="Times New Roman" w:cs="Times New Roman"/>
          <w:b/>
          <w:sz w:val="24"/>
          <w:szCs w:val="24"/>
        </w:rPr>
        <w:t>3001,3002</w:t>
      </w:r>
      <w:r w:rsidRPr="00364F63">
        <w:rPr>
          <w:rFonts w:ascii="Times New Roman" w:hAnsi="Times New Roman" w:cs="Times New Roman"/>
          <w:sz w:val="24"/>
          <w:szCs w:val="24"/>
        </w:rPr>
        <w:t>,3004,3005,3006,3007,3008,3009,3010,3011,3012,3013,3014,3015,3016,3016,3017,3032,3033,3031,3021,3022,3023,3024,3027,3028,3030,3020,3025,3036,3039,3040,3043,</w:t>
      </w:r>
      <w:r w:rsidRPr="00364F63">
        <w:rPr>
          <w:rFonts w:ascii="Times New Roman" w:hAnsi="Times New Roman" w:cs="Times New Roman"/>
          <w:b/>
          <w:sz w:val="24"/>
          <w:szCs w:val="24"/>
        </w:rPr>
        <w:t>3037,3038,3041,3042,3044</w:t>
      </w:r>
      <w:r w:rsidRPr="00364F63">
        <w:rPr>
          <w:rFonts w:ascii="Times New Roman" w:hAnsi="Times New Roman" w:cs="Times New Roman"/>
          <w:sz w:val="24"/>
          <w:szCs w:val="24"/>
        </w:rPr>
        <w:t>,3035, 3034,</w:t>
      </w:r>
      <w:r w:rsidRPr="00364F63">
        <w:rPr>
          <w:rFonts w:ascii="Times New Roman" w:hAnsi="Times New Roman" w:cs="Times New Roman"/>
          <w:b/>
          <w:sz w:val="24"/>
          <w:szCs w:val="24"/>
        </w:rPr>
        <w:t>3018/1</w:t>
      </w:r>
      <w:r w:rsidRPr="00364F63">
        <w:rPr>
          <w:rFonts w:ascii="Times New Roman" w:hAnsi="Times New Roman" w:cs="Times New Roman"/>
          <w:sz w:val="24"/>
          <w:szCs w:val="24"/>
        </w:rPr>
        <w:t>,3045/2,3045/9,3045/7,3079,3081,3080,3083, 3084/1,3085/1,3088/1,</w:t>
      </w:r>
      <w:r w:rsidRPr="00364F63">
        <w:rPr>
          <w:rFonts w:ascii="Times New Roman" w:hAnsi="Times New Roman" w:cs="Times New Roman"/>
          <w:b/>
          <w:sz w:val="24"/>
          <w:szCs w:val="24"/>
        </w:rPr>
        <w:t>1679/1</w:t>
      </w:r>
      <w:r w:rsidRPr="00364F63">
        <w:rPr>
          <w:rFonts w:ascii="Times New Roman" w:hAnsi="Times New Roman" w:cs="Times New Roman"/>
          <w:sz w:val="24"/>
          <w:szCs w:val="24"/>
        </w:rPr>
        <w:t>,1681,1680,1682,1687,1689/2,1674,1688,1689/1,1686,1685, 1684,3087,1683,</w:t>
      </w:r>
      <w:r w:rsidRPr="00364F63">
        <w:rPr>
          <w:rFonts w:ascii="Times New Roman" w:hAnsi="Times New Roman" w:cs="Times New Roman"/>
          <w:b/>
          <w:sz w:val="24"/>
          <w:szCs w:val="24"/>
        </w:rPr>
        <w:t>1697/2,1697/1,1695</w:t>
      </w:r>
      <w:r w:rsidRPr="00364F63">
        <w:rPr>
          <w:rFonts w:ascii="Times New Roman" w:hAnsi="Times New Roman" w:cs="Times New Roman"/>
          <w:sz w:val="24"/>
          <w:szCs w:val="24"/>
        </w:rPr>
        <w:t>,1694,1693,1692,1692,1691,1690,1689/1,1673,</w:t>
      </w:r>
      <w:r w:rsidRPr="00364F63">
        <w:rPr>
          <w:rFonts w:ascii="Times New Roman" w:hAnsi="Times New Roman" w:cs="Times New Roman"/>
          <w:b/>
          <w:sz w:val="24"/>
          <w:szCs w:val="24"/>
        </w:rPr>
        <w:t>1678/1,1677/1,1676/1,1675/1,1672/1,1671/1,1670/1,1669/1,1668/1</w:t>
      </w:r>
      <w:r w:rsidRPr="00364F63">
        <w:rPr>
          <w:rFonts w:ascii="Times New Roman" w:hAnsi="Times New Roman" w:cs="Times New Roman"/>
          <w:sz w:val="24"/>
          <w:szCs w:val="24"/>
        </w:rPr>
        <w:t>,1659/1,1658/2,</w:t>
      </w:r>
      <w:r w:rsidRPr="00364F63">
        <w:rPr>
          <w:rFonts w:ascii="Times New Roman" w:hAnsi="Times New Roman" w:cs="Times New Roman"/>
          <w:b/>
          <w:sz w:val="24"/>
          <w:szCs w:val="24"/>
        </w:rPr>
        <w:t>1658/1, 1657/1,1656/1</w:t>
      </w:r>
      <w:r w:rsidRPr="00364F63">
        <w:rPr>
          <w:rFonts w:ascii="Times New Roman" w:hAnsi="Times New Roman" w:cs="Times New Roman"/>
          <w:sz w:val="24"/>
          <w:szCs w:val="24"/>
        </w:rPr>
        <w:t>,1654,</w:t>
      </w:r>
      <w:r w:rsidRPr="00364F63">
        <w:rPr>
          <w:rFonts w:ascii="Times New Roman" w:hAnsi="Times New Roman" w:cs="Times New Roman"/>
          <w:b/>
          <w:sz w:val="24"/>
          <w:szCs w:val="24"/>
        </w:rPr>
        <w:t>1653/4,1653/3</w:t>
      </w:r>
      <w:r w:rsidRPr="00364F63">
        <w:rPr>
          <w:rFonts w:ascii="Times New Roman" w:hAnsi="Times New Roman" w:cs="Times New Roman"/>
          <w:sz w:val="24"/>
          <w:szCs w:val="24"/>
        </w:rPr>
        <w:t>,1653/2,</w:t>
      </w:r>
      <w:r w:rsidRPr="00364F63">
        <w:rPr>
          <w:rFonts w:ascii="Times New Roman" w:hAnsi="Times New Roman" w:cs="Times New Roman"/>
          <w:b/>
          <w:sz w:val="24"/>
          <w:szCs w:val="24"/>
        </w:rPr>
        <w:t>1653/1,1636/1</w:t>
      </w:r>
      <w:r w:rsidRPr="00364F63">
        <w:rPr>
          <w:rFonts w:ascii="Times New Roman" w:hAnsi="Times New Roman" w:cs="Times New Roman"/>
          <w:sz w:val="24"/>
          <w:szCs w:val="24"/>
        </w:rPr>
        <w:t>,1613,1614,</w:t>
      </w:r>
      <w:r w:rsidRPr="00364F63">
        <w:rPr>
          <w:rFonts w:ascii="Times New Roman" w:hAnsi="Times New Roman" w:cs="Times New Roman"/>
          <w:b/>
          <w:sz w:val="24"/>
          <w:szCs w:val="24"/>
        </w:rPr>
        <w:t>1601/1,1605/1</w:t>
      </w:r>
      <w:r w:rsidRPr="00364F63">
        <w:rPr>
          <w:rFonts w:ascii="Times New Roman" w:hAnsi="Times New Roman" w:cs="Times New Roman"/>
          <w:sz w:val="24"/>
          <w:szCs w:val="24"/>
        </w:rPr>
        <w:t>, 1604/1,1603/1</w:t>
      </w:r>
      <w:r w:rsidRPr="00364F63">
        <w:rPr>
          <w:rFonts w:ascii="Times New Roman" w:hAnsi="Times New Roman" w:cs="Times New Roman"/>
          <w:b/>
          <w:sz w:val="24"/>
          <w:szCs w:val="24"/>
        </w:rPr>
        <w:t>,1602,1597,1596/11595/1,1594/11593/1,1592/11591/1,</w:t>
      </w:r>
      <w:r w:rsidRPr="00364F63">
        <w:rPr>
          <w:rFonts w:ascii="Times New Roman" w:hAnsi="Times New Roman" w:cs="Times New Roman"/>
          <w:sz w:val="24"/>
          <w:szCs w:val="24"/>
        </w:rPr>
        <w:t xml:space="preserve"> 1610,1611,1612,1609,1607,1777/5,1777/6,1777/4,1777/3,</w:t>
      </w:r>
      <w:r w:rsidRPr="00364F63">
        <w:rPr>
          <w:rFonts w:ascii="Times New Roman" w:hAnsi="Times New Roman" w:cs="Times New Roman"/>
          <w:b/>
          <w:sz w:val="24"/>
          <w:szCs w:val="24"/>
        </w:rPr>
        <w:t>1777/2,1768,1764</w:t>
      </w:r>
      <w:r w:rsidRPr="00364F63">
        <w:rPr>
          <w:rFonts w:ascii="Times New Roman" w:hAnsi="Times New Roman" w:cs="Times New Roman"/>
          <w:sz w:val="24"/>
          <w:szCs w:val="24"/>
        </w:rPr>
        <w:t>, 1769,1772,1770,1771,1774,1773,1775,1776,6177,1607,1609,1639,1640,1641,1642,1643, 1644,1646,1647,1648,1649,1650,1645,1763/1,</w:t>
      </w:r>
      <w:r w:rsidRPr="00364F63">
        <w:rPr>
          <w:rFonts w:ascii="Times New Roman" w:hAnsi="Times New Roman" w:cs="Times New Roman"/>
          <w:b/>
          <w:sz w:val="24"/>
          <w:szCs w:val="24"/>
        </w:rPr>
        <w:t>1763/2,1762,1761,1760,1757,1756,1753, 1752,1751,1750,1748,1744</w:t>
      </w:r>
      <w:r w:rsidRPr="00364F63">
        <w:rPr>
          <w:rFonts w:ascii="Times New Roman" w:hAnsi="Times New Roman" w:cs="Times New Roman"/>
          <w:sz w:val="24"/>
          <w:szCs w:val="24"/>
        </w:rPr>
        <w:t>,1749,1743,1740,1742,1741,1739,1655.</w:t>
      </w:r>
    </w:p>
    <w:p w:rsidR="00EB7D02" w:rsidRPr="00DD3906" w:rsidRDefault="00EB7D02" w:rsidP="00EB7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4F6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у</w:t>
      </w:r>
      <w:r w:rsidRPr="00364F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Тржишна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424</w:t>
      </w:r>
      <w:proofErr w:type="gramStart"/>
      <w:r w:rsidR="00DD3906">
        <w:rPr>
          <w:rFonts w:ascii="Times New Roman" w:hAnsi="Times New Roman" w:cs="Times New Roman"/>
          <w:sz w:val="24"/>
          <w:szCs w:val="24"/>
        </w:rPr>
        <w:t>,89</w:t>
      </w:r>
      <w:proofErr w:type="gram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D3906"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EB7D02" w:rsidRPr="00364F63" w:rsidRDefault="00EB7D02" w:rsidP="00EB7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63">
        <w:rPr>
          <w:rFonts w:ascii="Times New Roman" w:hAnsi="Times New Roman" w:cs="Times New Roman"/>
          <w:b/>
          <w:sz w:val="24"/>
          <w:szCs w:val="24"/>
        </w:rPr>
        <w:t xml:space="preserve">КО </w:t>
      </w:r>
      <w:proofErr w:type="spellStart"/>
      <w:r w:rsidRPr="00364F63">
        <w:rPr>
          <w:rFonts w:ascii="Times New Roman" w:hAnsi="Times New Roman" w:cs="Times New Roman"/>
          <w:b/>
          <w:sz w:val="24"/>
          <w:szCs w:val="24"/>
        </w:rPr>
        <w:t>Тасковићи</w:t>
      </w:r>
      <w:proofErr w:type="spellEnd"/>
    </w:p>
    <w:p w:rsidR="00EB7D02" w:rsidRPr="00364F63" w:rsidRDefault="00EB7D02" w:rsidP="00EB7D02">
      <w:pPr>
        <w:jc w:val="both"/>
        <w:rPr>
          <w:rFonts w:ascii="Times New Roman" w:hAnsi="Times New Roman" w:cs="Times New Roman"/>
          <w:sz w:val="24"/>
          <w:szCs w:val="24"/>
        </w:rPr>
      </w:pPr>
      <w:r w:rsidRPr="00364F63">
        <w:rPr>
          <w:rFonts w:ascii="Times New Roman" w:hAnsi="Times New Roman" w:cs="Times New Roman"/>
          <w:sz w:val="24"/>
          <w:szCs w:val="24"/>
        </w:rPr>
        <w:t xml:space="preserve">8605, 8606, 8607, 8608, 8609, </w:t>
      </w:r>
      <w:proofErr w:type="gramStart"/>
      <w:r w:rsidRPr="00364F63">
        <w:rPr>
          <w:rFonts w:ascii="Times New Roman" w:hAnsi="Times New Roman" w:cs="Times New Roman"/>
          <w:sz w:val="24"/>
          <w:szCs w:val="24"/>
        </w:rPr>
        <w:t>8610 ,8611</w:t>
      </w:r>
      <w:proofErr w:type="gramEnd"/>
      <w:r w:rsidRPr="00364F63">
        <w:rPr>
          <w:rFonts w:ascii="Times New Roman" w:hAnsi="Times New Roman" w:cs="Times New Roman"/>
          <w:sz w:val="24"/>
          <w:szCs w:val="24"/>
        </w:rPr>
        <w:t>, 8612, 8613, 8614, 8615, 8732/2, 8616, 8617, 8732/1, 8731, 8730, 8733,</w:t>
      </w:r>
    </w:p>
    <w:p w:rsidR="00EB7D02" w:rsidRPr="0013102B" w:rsidRDefault="00EB7D02" w:rsidP="00EB7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4F6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у II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63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Тржишна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239,00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364F63" w:rsidRDefault="00364F63" w:rsidP="00EB7D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02" w:rsidRPr="00364F63" w:rsidRDefault="00EB7D02" w:rsidP="00EB7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63">
        <w:rPr>
          <w:rFonts w:ascii="Times New Roman" w:hAnsi="Times New Roman" w:cs="Times New Roman"/>
          <w:b/>
          <w:sz w:val="24"/>
          <w:szCs w:val="24"/>
        </w:rPr>
        <w:t xml:space="preserve">КО </w:t>
      </w:r>
      <w:proofErr w:type="spellStart"/>
      <w:r w:rsidRPr="00364F63">
        <w:rPr>
          <w:rFonts w:ascii="Times New Roman" w:hAnsi="Times New Roman" w:cs="Times New Roman"/>
          <w:b/>
          <w:sz w:val="24"/>
          <w:szCs w:val="24"/>
        </w:rPr>
        <w:t>Топоница</w:t>
      </w:r>
      <w:proofErr w:type="spellEnd"/>
    </w:p>
    <w:p w:rsidR="00364F63" w:rsidRDefault="00EB7D02" w:rsidP="00EB7D02">
      <w:pPr>
        <w:jc w:val="both"/>
        <w:rPr>
          <w:rFonts w:ascii="Times New Roman" w:hAnsi="Times New Roman" w:cs="Times New Roman"/>
          <w:sz w:val="24"/>
          <w:szCs w:val="24"/>
        </w:rPr>
      </w:pPr>
      <w:r w:rsidRPr="00364F63">
        <w:rPr>
          <w:rFonts w:ascii="Times New Roman" w:hAnsi="Times New Roman" w:cs="Times New Roman"/>
          <w:sz w:val="24"/>
          <w:szCs w:val="24"/>
        </w:rPr>
        <w:t xml:space="preserve">кп.бр.233 </w:t>
      </w:r>
    </w:p>
    <w:p w:rsidR="0013102B" w:rsidRPr="00DD3906" w:rsidRDefault="008F668D" w:rsidP="00131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02" w:rsidRPr="00364F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B7D02"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02" w:rsidRPr="00364F63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EB7D02" w:rsidRPr="00364F63">
        <w:rPr>
          <w:rFonts w:ascii="Times New Roman" w:hAnsi="Times New Roman" w:cs="Times New Roman"/>
          <w:sz w:val="24"/>
          <w:szCs w:val="24"/>
        </w:rPr>
        <w:t xml:space="preserve"> у I </w:t>
      </w:r>
      <w:proofErr w:type="spellStart"/>
      <w:r w:rsidR="00EB7D02" w:rsidRPr="00364F6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EB7D02"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02" w:rsidRPr="00364F63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EB7D02" w:rsidRPr="003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02" w:rsidRPr="00364F63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Тржишна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424,89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3102B"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EB7D02" w:rsidRPr="0013102B" w:rsidRDefault="00EB7D02" w:rsidP="00EB7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95" w:rsidRPr="00364F63" w:rsidRDefault="000B5A95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D0D67" w:rsidRPr="00C90124" w:rsidRDefault="00687603" w:rsidP="003D0D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Прибавити путем непосредне погодбе непокретност</w:t>
      </w:r>
      <w:r w:rsidR="00663C63" w:rsidRPr="00364F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1. ове Одлуке под тржишним условима у корист </w:t>
      </w:r>
      <w:r w:rsidR="00F71BC9"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јавне својине ради реализације </w:t>
      </w:r>
      <w:r w:rsidR="003D0D67">
        <w:rPr>
          <w:rFonts w:ascii="Times New Roman" w:hAnsi="Times New Roman" w:cs="Times New Roman"/>
          <w:sz w:val="24"/>
          <w:szCs w:val="24"/>
          <w:lang w:val="sr-Cyrl-CS"/>
        </w:rPr>
        <w:t>индустријске зоне –радне зоне „Север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3D0D67">
        <w:rPr>
          <w:rFonts w:ascii="Times New Roman" w:hAnsi="Times New Roman" w:cs="Times New Roman"/>
          <w:sz w:val="24"/>
          <w:szCs w:val="24"/>
          <w:lang w:val="sr-Cyrl-CS"/>
        </w:rPr>
        <w:t>Гаџин Хан и радне зоне „Топоница“ Топоница</w:t>
      </w:r>
      <w:r w:rsidR="00DD3906">
        <w:rPr>
          <w:rFonts w:ascii="Times New Roman" w:hAnsi="Times New Roman" w:cs="Times New Roman"/>
          <w:sz w:val="24"/>
          <w:szCs w:val="24"/>
          <w:lang w:val="sr-Cyrl-CS"/>
        </w:rPr>
        <w:t xml:space="preserve"> које су планиране Просторним планом општине Гаџин Хан („Службени лист града Ниша“, број 69/2012)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5A95" w:rsidRPr="00364F63" w:rsidRDefault="000B5A95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Pr="00364F63" w:rsidRDefault="00687603" w:rsidP="008071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DD3906" w:rsidRPr="00C90124" w:rsidRDefault="004A5CAA" w:rsidP="00DD3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Предметне</w:t>
      </w:r>
      <w:r w:rsidR="009A0D2E"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A0D2E"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прибавиће се у јавну својину општине Гаџин Хан не</w:t>
      </w:r>
      <w:r w:rsidR="009035FF" w:rsidRPr="00364F6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A0D2E"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осредном погодбом под тржишним 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>условима из разлога што наведене</w:t>
      </w:r>
      <w:r w:rsidR="009A0D2E"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ка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>тастарске парцеле</w:t>
      </w:r>
      <w:r w:rsidR="009A0D2E"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по својим карактеристикама</w:t>
      </w:r>
      <w:r w:rsidR="00DD3906">
        <w:rPr>
          <w:rFonts w:ascii="Times New Roman" w:hAnsi="Times New Roman" w:cs="Times New Roman"/>
          <w:sz w:val="24"/>
          <w:szCs w:val="24"/>
          <w:lang w:val="sr-Cyrl-CS"/>
        </w:rPr>
        <w:t xml:space="preserve"> и Просторном плану</w:t>
      </w:r>
      <w:r w:rsidR="00DD3906" w:rsidRPr="00DD39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906">
        <w:rPr>
          <w:rFonts w:ascii="Times New Roman" w:hAnsi="Times New Roman" w:cs="Times New Roman"/>
          <w:sz w:val="24"/>
          <w:szCs w:val="24"/>
          <w:lang w:val="sr-Cyrl-CS"/>
        </w:rPr>
        <w:t>општине Гаџин Хан („Службени лист града Ниша“, број 69/2012),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906">
        <w:rPr>
          <w:rFonts w:ascii="Times New Roman" w:hAnsi="Times New Roman" w:cs="Times New Roman"/>
          <w:sz w:val="24"/>
          <w:szCs w:val="24"/>
          <w:lang w:val="sr-Cyrl-CS"/>
        </w:rPr>
        <w:t>једино одговарају потребама изградње индустријске зоне –радне зоне „Север „ Гаџин Хан и радне зоне „Топоница“ Топоница.</w:t>
      </w:r>
    </w:p>
    <w:p w:rsidR="009A0D2E" w:rsidRPr="00364F63" w:rsidRDefault="009A0D2E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64F63" w:rsidRDefault="000C63EA" w:rsidP="008071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C63EA" w:rsidRPr="00364F63" w:rsidRDefault="000C63EA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 се Комисија ради 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>спровађења ове одлуке у саставу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63EA" w:rsidRPr="00364F63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64F63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-Горан Стоиљковић , председник комисије</w:t>
      </w:r>
    </w:p>
    <w:p w:rsidR="000C63EA" w:rsidRPr="00364F63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-Александар Ранђеловић, члан </w:t>
      </w:r>
    </w:p>
    <w:p w:rsidR="000C63EA" w:rsidRPr="00364F63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-Звонко Милошевић , члан</w:t>
      </w:r>
    </w:p>
    <w:p w:rsidR="000C63EA" w:rsidRPr="00364F63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64F63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у обавези да по окончаном поступку непос</w:t>
      </w:r>
      <w:r w:rsidR="00E83DE0" w:rsidRPr="00364F63">
        <w:rPr>
          <w:rFonts w:ascii="Times New Roman" w:hAnsi="Times New Roman" w:cs="Times New Roman"/>
          <w:sz w:val="24"/>
          <w:szCs w:val="24"/>
          <w:lang w:val="sr-Cyrl-CS"/>
        </w:rPr>
        <w:t>редне погодбе записник са одгов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>арајућим предлогом достави Општинском већу општине Гаџин Хан .</w:t>
      </w:r>
    </w:p>
    <w:p w:rsidR="000C63EA" w:rsidRPr="00364F63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64F63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C63EA" w:rsidRPr="00364F63" w:rsidRDefault="000C63EA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>се председник општине Гаџин Хан, Саша Ђорђевић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>, да у име и за рачун општине Гаџин Хан с</w:t>
      </w:r>
      <w:r w:rsidR="002E43AB"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а власницима предметних непокретности закључи уговор о купопродаји предметних непокретности </w:t>
      </w:r>
      <w:r w:rsidRPr="00364F63">
        <w:rPr>
          <w:rFonts w:ascii="Times New Roman" w:hAnsi="Times New Roman" w:cs="Times New Roman"/>
          <w:sz w:val="24"/>
          <w:szCs w:val="24"/>
          <w:lang w:val="sr-Cyrl-CS"/>
        </w:rPr>
        <w:t>и исти пред надлежним Јавним бележником потпише и овери.</w:t>
      </w:r>
    </w:p>
    <w:p w:rsidR="000C63EA" w:rsidRPr="00364F63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64F63" w:rsidRDefault="00364F63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9F4FE7">
        <w:rPr>
          <w:rFonts w:ascii="Times New Roman" w:hAnsi="Times New Roman" w:cs="Times New Roman"/>
          <w:sz w:val="24"/>
          <w:szCs w:val="24"/>
          <w:lang/>
        </w:rPr>
        <w:t>06-464-54</w:t>
      </w:r>
      <w:r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0C63EA" w:rsidRPr="00364F6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C63EA" w:rsidRPr="00364F63"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364F63" w:rsidRDefault="00364F63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, дана </w:t>
      </w:r>
      <w:r w:rsidR="008F668D">
        <w:rPr>
          <w:rFonts w:ascii="Times New Roman" w:hAnsi="Times New Roman" w:cs="Times New Roman"/>
          <w:sz w:val="24"/>
          <w:szCs w:val="24"/>
          <w:lang w:val="sr-Cyrl-CS"/>
        </w:rPr>
        <w:t>04.02</w:t>
      </w:r>
      <w:r w:rsidR="009F4FE7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0C63EA" w:rsidRPr="00364F63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364F63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64F63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Pr="00364F63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64F63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ПРЕДСЕДНИК</w:t>
      </w:r>
    </w:p>
    <w:p w:rsidR="000C63EA" w:rsidRPr="00364F63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Саша Ђорђевић </w:t>
      </w:r>
    </w:p>
    <w:p w:rsid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F6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0C63EA" w:rsidSect="00EB7D02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85409"/>
    <w:rsid w:val="000B5A95"/>
    <w:rsid w:val="000C63EA"/>
    <w:rsid w:val="000F7ADD"/>
    <w:rsid w:val="0013102B"/>
    <w:rsid w:val="0015507C"/>
    <w:rsid w:val="00224002"/>
    <w:rsid w:val="002E43AB"/>
    <w:rsid w:val="00303EA4"/>
    <w:rsid w:val="00364F63"/>
    <w:rsid w:val="003D0D67"/>
    <w:rsid w:val="004131AC"/>
    <w:rsid w:val="004A5CAA"/>
    <w:rsid w:val="00562D6B"/>
    <w:rsid w:val="005848AB"/>
    <w:rsid w:val="005C251B"/>
    <w:rsid w:val="005D3F89"/>
    <w:rsid w:val="00663C63"/>
    <w:rsid w:val="00687603"/>
    <w:rsid w:val="006931CC"/>
    <w:rsid w:val="007C1E3A"/>
    <w:rsid w:val="007C1E9A"/>
    <w:rsid w:val="007D3342"/>
    <w:rsid w:val="0080712D"/>
    <w:rsid w:val="00807C45"/>
    <w:rsid w:val="00872A2F"/>
    <w:rsid w:val="008870F8"/>
    <w:rsid w:val="008B410F"/>
    <w:rsid w:val="008F668D"/>
    <w:rsid w:val="009035FF"/>
    <w:rsid w:val="00903AA9"/>
    <w:rsid w:val="00910062"/>
    <w:rsid w:val="009A0D2E"/>
    <w:rsid w:val="009F4FE7"/>
    <w:rsid w:val="00AB4C01"/>
    <w:rsid w:val="00B60B05"/>
    <w:rsid w:val="00B81DC3"/>
    <w:rsid w:val="00BE4DDF"/>
    <w:rsid w:val="00C07E65"/>
    <w:rsid w:val="00C473F3"/>
    <w:rsid w:val="00C75512"/>
    <w:rsid w:val="00C90124"/>
    <w:rsid w:val="00CE59A6"/>
    <w:rsid w:val="00D05400"/>
    <w:rsid w:val="00D12D04"/>
    <w:rsid w:val="00DB733C"/>
    <w:rsid w:val="00DC616C"/>
    <w:rsid w:val="00DD3906"/>
    <w:rsid w:val="00DE0A3C"/>
    <w:rsid w:val="00E515D0"/>
    <w:rsid w:val="00E83DE0"/>
    <w:rsid w:val="00EB7D02"/>
    <w:rsid w:val="00F53E36"/>
    <w:rsid w:val="00F71BC9"/>
    <w:rsid w:val="00F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1CA3-8854-40B8-96DF-90E2159C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8</cp:revision>
  <cp:lastPrinted>2019-02-04T10:33:00Z</cp:lastPrinted>
  <dcterms:created xsi:type="dcterms:W3CDTF">2019-01-31T12:08:00Z</dcterms:created>
  <dcterms:modified xsi:type="dcterms:W3CDTF">2019-02-19T07:15:00Z</dcterms:modified>
</cp:coreProperties>
</file>