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left" w:pos="6494" w:leader="none"/>
          <w:tab w:val="left" w:pos="7820" w:leader="none"/>
          <w:tab w:val="left" w:pos="8246" w:leader="none"/>
          <w:tab w:val="left" w:pos="9478" w:leader="none"/>
        </w:tabs>
        <w:spacing w:lineRule="auto" w:line="276"/>
        <w:ind w:right="57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расподелу средстава  удружењима грађана Општинске  управе Гаџин Хан, на основу Члана 38. Закона о удружењима ("Службени гласник РС" број 51/2009 и 99/2011-др.закони), Одлуке о буџету општине Гаџин Хан за 2019.годину („Сл. лист Града Ниша“ бр.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112/18), Правилника о начину и критеријумима за избор програма и пројекта која реализују удружења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грађана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финансирају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буџета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општине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Гаџин Хан броj </w:t>
      </w:r>
      <w:r>
        <w:rPr>
          <w:rFonts w:ascii="Times New Roman" w:hAnsi="Times New Roman"/>
          <w:lang w:val="sr-CS"/>
        </w:rPr>
        <w:t>06-400-678/18-III</w:t>
      </w:r>
      <w:r>
        <w:rPr>
          <w:rFonts w:ascii="Times New Roman" w:hAnsi="Times New Roman"/>
          <w:sz w:val="24"/>
          <w:szCs w:val="24"/>
        </w:rPr>
        <w:t xml:space="preserve"> од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27.12.2019.</w:t>
      </w:r>
      <w:r>
        <w:rPr>
          <w:rFonts w:ascii="Times New Roman" w:hAnsi="Times New Roman"/>
          <w:spacing w:val="-4"/>
          <w:sz w:val="24"/>
          <w:szCs w:val="24"/>
        </w:rPr>
        <w:t xml:space="preserve">године </w:t>
      </w:r>
    </w:p>
    <w:p>
      <w:pPr>
        <w:pStyle w:val="TextBody"/>
        <w:spacing w:before="5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spacing w:before="1" w:after="0"/>
        <w:ind w:left="0" w:right="76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ЈАВНИ КОНКУРС</w:t>
      </w:r>
    </w:p>
    <w:p>
      <w:pPr>
        <w:pStyle w:val="TextBody"/>
        <w:spacing w:before="5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922" w:leader="none"/>
        </w:tabs>
        <w:spacing w:lineRule="auto" w:line="276" w:before="1" w:after="0"/>
        <w:ind w:right="576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ДОДЕЛУ БУЏЕТСКИХ СРЕДСТАВА ЗА ФИНАНСИРАЊЕ И СУФИНАНСИРАЊЕ ПРОГРАМА И ПРОЈЕКТА УДРУЖЕЊА ГРАЂАНА КОЈА ДЕЛУЈУ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ТЕРИТОРИЈИ ОПШТИНЕ ГАЏИН ХАН ЗА 2019.</w:t>
      </w:r>
      <w:r>
        <w:rPr>
          <w:rFonts w:ascii="Times New Roman" w:hAnsi="Times New Roman"/>
          <w:b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ГОДИНУ</w:t>
      </w:r>
    </w:p>
    <w:p>
      <w:pPr>
        <w:pStyle w:val="TextBody"/>
        <w:spacing w:before="6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right="337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>
      <w:pPr>
        <w:pStyle w:val="TextBody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extBody"/>
        <w:spacing w:lineRule="auto" w:line="276"/>
        <w:ind w:right="579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Расписује се КОНКУРС за доделу буџетских средстава за финансирање и суфинансирање програма и пројекта удружења која делују на територији општине Гаџин Хан за </w:t>
      </w:r>
      <w:r>
        <w:rPr>
          <w:rFonts w:ascii="Times New Roman" w:hAnsi="Times New Roman"/>
          <w:sz w:val="24"/>
          <w:szCs w:val="24"/>
          <w:u w:val="none"/>
        </w:rPr>
        <w:t>20</w:t>
      </w:r>
      <w:r>
        <w:rPr>
          <w:rFonts w:ascii="Times New Roman" w:hAnsi="Times New Roman"/>
          <w:sz w:val="24"/>
          <w:szCs w:val="24"/>
          <w:u w:val="none"/>
        </w:rPr>
        <w:t>19</w:t>
      </w:r>
      <w:r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годину.</w:t>
      </w:r>
    </w:p>
    <w:p>
      <w:pPr>
        <w:pStyle w:val="TextBody"/>
        <w:tabs>
          <w:tab w:val="left" w:pos="6049" w:leader="none"/>
        </w:tabs>
        <w:spacing w:lineRule="auto" w:line="276"/>
        <w:ind w:right="57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основу  овог  конкурса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расподелиће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2.800.000,00 динара, планираних за ове намене у буџету за 2019.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годину.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ће бити расподељена за удружења грађана, која делују у области: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1421" w:leader="none"/>
          <w:tab w:val="left" w:pos="1422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-Социо-хуманитарног рада </w:t>
      </w:r>
      <w:r>
        <w:rPr>
          <w:rFonts w:ascii="Times New Roman" w:hAnsi="Times New Roman"/>
          <w:sz w:val="24"/>
          <w:szCs w:val="24"/>
        </w:rPr>
        <w:t>(укључујући удружења пензионера), у укупном Износу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 550.000,00 динара;</w:t>
      </w:r>
    </w:p>
    <w:p>
      <w:pPr>
        <w:pStyle w:val="ListParagraph"/>
        <w:tabs>
          <w:tab w:val="left" w:pos="1421" w:leader="none"/>
          <w:tab w:val="left" w:pos="1422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-Пољопривреде </w:t>
      </w:r>
      <w:r>
        <w:rPr>
          <w:rFonts w:ascii="Times New Roman" w:hAnsi="Times New Roman"/>
          <w:sz w:val="24"/>
          <w:szCs w:val="24"/>
        </w:rPr>
        <w:t xml:space="preserve">(укључујући удружења ловаца, риболоваца,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кинолога),</w:t>
      </w:r>
      <w:r>
        <w:rPr>
          <w:rFonts w:ascii="Times New Roman" w:hAnsi="Times New Roman"/>
          <w:sz w:val="24"/>
          <w:szCs w:val="24"/>
        </w:rPr>
        <w:t xml:space="preserve"> у укупном Износу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950.000,00 динара;</w:t>
      </w:r>
    </w:p>
    <w:p>
      <w:pPr>
        <w:pStyle w:val="ListParagraph"/>
        <w:tabs>
          <w:tab w:val="left" w:pos="1421" w:leader="none"/>
          <w:tab w:val="left" w:pos="1422" w:leader="none"/>
          <w:tab w:val="left" w:pos="7307" w:leader="dot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-Привреде </w:t>
      </w:r>
      <w:r>
        <w:rPr>
          <w:rFonts w:ascii="Times New Roman" w:hAnsi="Times New Roman"/>
          <w:sz w:val="24"/>
          <w:szCs w:val="24"/>
        </w:rPr>
        <w:t>, у укупном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Износу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 150.000,00 динара;</w:t>
      </w:r>
    </w:p>
    <w:p>
      <w:pPr>
        <w:pStyle w:val="ListParagraph"/>
        <w:tabs>
          <w:tab w:val="left" w:pos="1421" w:leader="none"/>
          <w:tab w:val="left" w:pos="1422" w:leader="none"/>
          <w:tab w:val="left" w:pos="5697" w:leader="dot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-Културе и неговања традиције и обичаја</w:t>
      </w:r>
      <w:r>
        <w:rPr>
          <w:rFonts w:ascii="Times New Roman" w:hAnsi="Times New Roman"/>
          <w:sz w:val="24"/>
          <w:szCs w:val="24"/>
        </w:rPr>
        <w:t>, у укупном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Износу од 950.000,00динара;</w:t>
      </w:r>
    </w:p>
    <w:p>
      <w:pPr>
        <w:pStyle w:val="ListParagraph"/>
        <w:tabs>
          <w:tab w:val="left" w:pos="1421" w:leader="none"/>
          <w:tab w:val="left" w:pos="1422" w:leader="none"/>
          <w:tab w:val="left" w:pos="7453" w:leader="dot"/>
        </w:tabs>
        <w:ind w:left="0" w:hanging="0"/>
        <w:rPr/>
      </w:pPr>
      <w:r>
        <w:rPr>
          <w:rFonts w:ascii="Times New Roman" w:hAnsi="Times New Roman"/>
          <w:b/>
          <w:sz w:val="24"/>
          <w:szCs w:val="24"/>
        </w:rPr>
        <w:t>-Заштите животне средине</w:t>
      </w:r>
      <w:r>
        <w:rPr>
          <w:rFonts w:ascii="Times New Roman" w:hAnsi="Times New Roman"/>
          <w:sz w:val="24"/>
          <w:szCs w:val="24"/>
        </w:rPr>
        <w:t>, у укупном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Износу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 200.000,00динара;</w:t>
      </w:r>
    </w:p>
    <w:p>
      <w:pPr>
        <w:pStyle w:val="ListParagraph"/>
        <w:tabs>
          <w:tab w:val="left" w:pos="1421" w:leader="none"/>
          <w:tab w:val="left" w:pos="1422" w:leader="none"/>
          <w:tab w:val="left" w:pos="7453" w:leader="dot"/>
        </w:tabs>
        <w:ind w:left="0" w:hanging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tabs>
          <w:tab w:val="left" w:pos="1421" w:leader="none"/>
          <w:tab w:val="left" w:pos="1422" w:leader="none"/>
          <w:tab w:val="left" w:pos="7453" w:leader="dot"/>
        </w:tabs>
        <w:ind w:left="0" w:hanging="0"/>
        <w:rPr/>
      </w:pPr>
      <w:r>
        <w:rPr>
          <w:rFonts w:ascii="Times New Roman" w:hAnsi="Times New Roman"/>
          <w:sz w:val="24"/>
          <w:szCs w:val="24"/>
        </w:rPr>
        <w:t>Износ одобрених средстава може бити мањи од износа тражених средстава. Општина Гаџин Хан нема обавезу да потроши сва расположива средства за ову намену, а финансираће само квалитетне пројекте који испуњавају дефинисане критеријуме.</w:t>
      </w:r>
    </w:p>
    <w:p>
      <w:pPr>
        <w:pStyle w:val="Heading1"/>
        <w:spacing w:before="173" w:after="0"/>
        <w:ind w:left="0" w:right="766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>
      <w:pPr>
        <w:pStyle w:val="TextBody"/>
        <w:spacing w:before="6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54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Право учешћа на овом КОНКУРСу за доделу буџетских средстава имају удружења која испуњавају следеће услове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1"/>
          <w:numId w:val="4"/>
        </w:numPr>
        <w:tabs>
          <w:tab w:val="left" w:pos="1680" w:leader="none"/>
          <w:tab w:val="left" w:pos="1681" w:leader="none"/>
        </w:tabs>
        <w:spacing w:lineRule="auto" w:line="271" w:before="196" w:after="0"/>
        <w:ind w:left="0" w:right="57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удружење регистровано у складу са Законом о удружењима ( „ Службени гласник РС”, бр.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51/09);</w:t>
      </w:r>
    </w:p>
    <w:p>
      <w:pPr>
        <w:pStyle w:val="ListParagraph"/>
        <w:numPr>
          <w:ilvl w:val="1"/>
          <w:numId w:val="4"/>
        </w:numPr>
        <w:tabs>
          <w:tab w:val="left" w:pos="1680" w:leader="none"/>
          <w:tab w:val="left" w:pos="1681" w:leader="none"/>
        </w:tabs>
        <w:spacing w:lineRule="auto" w:line="271" w:before="4" w:after="0"/>
        <w:ind w:left="0" w:right="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седиште удружења на територији општине Гаџин Хан  или да програме и пројекте од јавног интереса реализује на територији општине Гаџин Хан;</w:t>
      </w:r>
    </w:p>
    <w:p>
      <w:pPr>
        <w:pStyle w:val="ListParagraph"/>
        <w:numPr>
          <w:ilvl w:val="1"/>
          <w:numId w:val="4"/>
        </w:numPr>
        <w:tabs>
          <w:tab w:val="left" w:pos="1680" w:leader="none"/>
          <w:tab w:val="left" w:pos="1681" w:leader="none"/>
        </w:tabs>
        <w:spacing w:before="6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које је директно одговорно за припрему и извођење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пројекта;</w:t>
      </w:r>
    </w:p>
    <w:p>
      <w:pPr>
        <w:pStyle w:val="ListParagraph"/>
        <w:numPr>
          <w:ilvl w:val="1"/>
          <w:numId w:val="4"/>
        </w:numPr>
        <w:tabs>
          <w:tab w:val="left" w:pos="1680" w:leader="none"/>
          <w:tab w:val="left" w:pos="1681" w:leader="none"/>
        </w:tabs>
        <w:spacing w:lineRule="auto" w:line="271" w:before="41" w:after="0"/>
        <w:ind w:left="0" w:right="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удружење поднело извештај о реализацији програма/пројекта и оправдало средства додељена у прошлогодишњем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КОНКУРСу;</w:t>
      </w:r>
    </w:p>
    <w:p>
      <w:pPr>
        <w:pStyle w:val="ListParagraph"/>
        <w:numPr>
          <w:ilvl w:val="1"/>
          <w:numId w:val="4"/>
        </w:numPr>
        <w:tabs>
          <w:tab w:val="left" w:pos="1680" w:leader="none"/>
          <w:tab w:val="left" w:pos="1681" w:leader="none"/>
        </w:tabs>
        <w:spacing w:before="5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деловање удружења није политичке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природе;</w:t>
      </w:r>
    </w:p>
    <w:p>
      <w:pPr>
        <w:pStyle w:val="ListParagraph"/>
        <w:numPr>
          <w:ilvl w:val="1"/>
          <w:numId w:val="4"/>
        </w:numPr>
        <w:tabs>
          <w:tab w:val="left" w:pos="1680" w:leader="none"/>
          <w:tab w:val="left" w:pos="1681" w:leader="none"/>
        </w:tabs>
        <w:spacing w:lineRule="auto" w:line="271" w:before="41" w:after="0"/>
        <w:ind w:left="0" w:right="57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у последње 2 године правоснажном одлуком није кажњено за прекршај или привредни преступ везан за делатност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удружења;</w:t>
      </w:r>
    </w:p>
    <w:p>
      <w:pPr>
        <w:pStyle w:val="ListParagraph"/>
        <w:numPr>
          <w:ilvl w:val="1"/>
          <w:numId w:val="4"/>
        </w:numPr>
        <w:tabs>
          <w:tab w:val="left" w:pos="1680" w:leader="none"/>
          <w:tab w:val="left" w:pos="1681" w:leader="none"/>
        </w:tabs>
        <w:spacing w:lineRule="auto" w:line="271" w:before="5" w:after="0"/>
        <w:ind w:left="0" w:right="57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ListParagraph"/>
        <w:numPr>
          <w:ilvl w:val="1"/>
          <w:numId w:val="4"/>
        </w:numPr>
        <w:tabs>
          <w:tab w:val="left" w:pos="1680" w:leader="none"/>
          <w:tab w:val="left" w:pos="1681" w:leader="none"/>
        </w:tabs>
        <w:spacing w:lineRule="auto" w:line="276" w:before="4" w:after="0"/>
        <w:ind w:left="0" w:right="57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које нема блокаду рачуна, пореске дугове или дугове према организацијама социјалног осигурања.</w:t>
      </w:r>
    </w:p>
    <w:p>
      <w:pPr>
        <w:pStyle w:val="TextBody"/>
        <w:spacing w:lineRule="auto" w:line="276" w:before="195" w:after="0"/>
        <w:ind w:left="960" w:right="5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подношење пријаве за финансирање или суфинансирање програма и пројекта имају     и регионална удружења, под условом да реализују активности од јавног интереса за потребе грађана општине Гаџин Хан.</w:t>
      </w:r>
    </w:p>
    <w:p>
      <w:pPr>
        <w:pStyle w:val="TextBody"/>
        <w:spacing w:before="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ind w:left="0" w:right="767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>
      <w:pPr>
        <w:pStyle w:val="TextBody"/>
        <w:spacing w:before="8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 за доделу средстава ће имати удружења која:</w:t>
      </w:r>
    </w:p>
    <w:p>
      <w:pPr>
        <w:pStyle w:val="TextBody"/>
        <w:spacing w:before="8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1421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располажу капацитетима за реализацију програма или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пројекта;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1469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своје програме рада усмеравају ка већем броју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корисника;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1419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 висок степен успешности у реализовању програма и пројекта;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1443" w:leader="none"/>
        </w:tabs>
        <w:spacing w:lineRule="auto" w:line="276"/>
        <w:ind w:left="0" w:right="57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своје програмске и пројектне активности базирају на усвојеним стратешким документима на локалном и националном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нивоу.</w:t>
      </w:r>
    </w:p>
    <w:p>
      <w:pPr>
        <w:pStyle w:val="Heading1"/>
        <w:ind w:left="0" w:right="766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</w:p>
    <w:p>
      <w:pPr>
        <w:pStyle w:val="TextBody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1306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Обавезна конкурсна документација </w:t>
      </w:r>
      <w:r>
        <w:rPr>
          <w:rFonts w:ascii="Times New Roman" w:hAnsi="Times New Roman"/>
          <w:sz w:val="24"/>
          <w:szCs w:val="24"/>
        </w:rPr>
        <w:t>подносиоца пријаве на јавни КОНКУРС је следећа: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left" w:pos="1306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left" w:pos="1306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попуњен пријавни образац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КОНКУРС;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left" w:pos="1306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попуњен образац предлога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програма/пројекта: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left" w:pos="1306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попуњен образац буџета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програма/пројекта;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left" w:pos="1308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попуњен образац наративног буџета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програма/пројекта;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left" w:pos="1306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оснивачки акт удружења </w:t>
      </w:r>
      <w:r>
        <w:rPr>
          <w:rFonts w:ascii="Times New Roman" w:hAnsi="Times New Roman"/>
          <w:sz w:val="24"/>
          <w:szCs w:val="24"/>
        </w:rPr>
        <w:t>(оверена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фотокопија);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left" w:pos="1354" w:leader="none"/>
        </w:tabs>
        <w:spacing w:lineRule="auto" w:line="276"/>
        <w:ind w:left="0" w:right="57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извод из регистра или решење надлежног органа </w:t>
      </w:r>
      <w:r>
        <w:rPr>
          <w:rFonts w:ascii="Times New Roman" w:hAnsi="Times New Roman"/>
          <w:sz w:val="24"/>
          <w:szCs w:val="24"/>
        </w:rPr>
        <w:t>( Агенција за привредне регистре) о упису у одговарајући регистар (оверена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фотокпија);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left" w:pos="1306" w:leader="none"/>
        </w:tabs>
        <w:spacing w:lineRule="auto" w:line="276"/>
        <w:ind w:left="0" w:right="57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оверену фотокопију извода из статута </w:t>
      </w:r>
      <w:r>
        <w:rPr>
          <w:rFonts w:ascii="Times New Roman" w:hAnsi="Times New Roman"/>
          <w:sz w:val="24"/>
          <w:szCs w:val="24"/>
        </w:rPr>
        <w:t>удружења у коме је утврђено да се циљеви удружења остварују у области у којој се програм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реализује;</w:t>
      </w:r>
    </w:p>
    <w:p>
      <w:pPr>
        <w:pStyle w:val="ListParagraph"/>
        <w:numPr>
          <w:ilvl w:val="2"/>
          <w:numId w:val="1"/>
        </w:numPr>
        <w:tabs>
          <w:tab w:val="left" w:pos="1323" w:leader="none"/>
        </w:tabs>
        <w:spacing w:lineRule="auto" w:line="276"/>
        <w:ind w:left="0" w:right="57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доказ о ликвидности </w:t>
      </w:r>
      <w:r>
        <w:rPr>
          <w:rFonts w:ascii="Times New Roman" w:hAnsi="Times New Roman"/>
          <w:sz w:val="24"/>
          <w:szCs w:val="24"/>
        </w:rPr>
        <w:t>удружења односно извештај о завршном рачуну за претходну годину за удружења основана пре почетка текуће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године;</w:t>
      </w:r>
    </w:p>
    <w:p>
      <w:pPr>
        <w:pStyle w:val="ListParagraph"/>
        <w:numPr>
          <w:ilvl w:val="2"/>
          <w:numId w:val="1"/>
        </w:numPr>
        <w:tabs>
          <w:tab w:val="left" w:pos="1378" w:leader="none"/>
        </w:tabs>
        <w:spacing w:lineRule="auto" w:line="276"/>
        <w:ind w:left="0" w:right="5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изјаву овлашћеног лица </w:t>
      </w:r>
      <w:r>
        <w:rPr>
          <w:rFonts w:ascii="Times New Roman" w:hAnsi="Times New Roman"/>
          <w:sz w:val="24"/>
          <w:szCs w:val="24"/>
        </w:rPr>
        <w:t>удружења (оригинал),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кажњено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осигурања.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tabs>
          <w:tab w:val="left" w:pos="1366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изјава партнера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пројекту.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spacing w:lineRule="auto" w:line="276" w:before="38" w:after="0"/>
        <w:ind w:right="575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Неопходни обрасци могу се преузети са интернет странице </w:t>
      </w: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www.gadzinhan.rs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RS"/>
        </w:rPr>
        <w:t>у делу који се односи на удружења грађана.</w:t>
      </w:r>
    </w:p>
    <w:p>
      <w:pPr>
        <w:pStyle w:val="TextBody"/>
        <w:spacing w:before="5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spacing w:lineRule="auto" w:line="276" w:before="1" w:after="0"/>
        <w:ind w:left="960" w:right="57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Јавни КОНКУРС је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отворен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 15.03.2019.год. до 01.04.2019.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>
      <w:pPr>
        <w:pStyle w:val="TextBody"/>
        <w:spacing w:before="8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ind w:left="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</w:p>
    <w:p>
      <w:pPr>
        <w:pStyle w:val="TextBody"/>
        <w:spacing w:before="6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extBody"/>
        <w:widowControl w:val="false"/>
        <w:bidi w:val="0"/>
        <w:spacing w:lineRule="auto" w:line="276" w:before="0" w:after="0"/>
        <w:ind w:left="0" w:right="1169" w:hanging="0"/>
        <w:jc w:val="both"/>
        <w:rPr/>
      </w:pPr>
      <w:r>
        <w:rPr>
          <w:rFonts w:ascii="Times New Roman" w:hAnsi="Times New Roman"/>
          <w:sz w:val="24"/>
          <w:szCs w:val="24"/>
        </w:rPr>
        <w:t>Подносиоци предлога морају све захтеване обрасце да адекватно попуне, електронски, на српском језику. Недовољно информација односно неиспуњавање обавезних поља у приложеним обрасцима дисквалификоваће предлог из процеса обраде и предлог ће бити одбијен.</w:t>
      </w:r>
    </w:p>
    <w:p>
      <w:pPr>
        <w:pStyle w:val="TextBody"/>
        <w:widowControl w:val="false"/>
        <w:bidi w:val="0"/>
        <w:spacing w:lineRule="auto" w:line="276" w:before="0" w:after="0"/>
        <w:ind w:left="0" w:right="54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TextBody"/>
        <w:widowControl w:val="false"/>
        <w:bidi w:val="0"/>
        <w:spacing w:lineRule="auto" w:line="276" w:before="0" w:after="0"/>
        <w:ind w:left="0" w:right="540" w:hanging="0"/>
        <w:jc w:val="both"/>
        <w:rPr/>
      </w:pPr>
      <w:r>
        <w:rPr>
          <w:rFonts w:ascii="Times New Roman" w:hAnsi="Times New Roman"/>
          <w:sz w:val="24"/>
          <w:szCs w:val="24"/>
        </w:rPr>
        <w:t>Конкурсна документација мора бити поднета у штампаном примерку сваког документа за пријаву. Комплетна документација се доставља у затвореној коверти на чијој полеђини се наводе поновни подаци о подносиоцу пријаве.</w:t>
      </w:r>
    </w:p>
    <w:p>
      <w:pPr>
        <w:pStyle w:val="TextBody"/>
        <w:spacing w:before="4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widowControl w:val="false"/>
        <w:bidi w:val="0"/>
        <w:spacing w:lineRule="auto" w:line="276" w:before="1" w:after="0"/>
        <w:ind w:left="0" w:right="540" w:hanging="0"/>
        <w:jc w:val="both"/>
        <w:rPr/>
      </w:pPr>
      <w:r>
        <w:rPr>
          <w:rFonts w:ascii="Times New Roman" w:hAnsi="Times New Roman"/>
          <w:sz w:val="24"/>
          <w:szCs w:val="24"/>
        </w:rPr>
        <w:t>Пријаве се предају на писарници Општинске управе Гаџин Хан, или препорученом пошиљком са обавезним навођењем адресе: "Општинска управа Гаџин Хан - Комисији за расподелу буџетских средстава за донације удружењима Општинске управе Гаџин Хан, ул. Милоша Обилића бб 18 240 Гаџин Хан"</w:t>
      </w:r>
    </w:p>
    <w:p>
      <w:pPr>
        <w:pStyle w:val="TextBody"/>
        <w:spacing w:before="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Непотпуне и неблаговремене пријаве неће се разматрати.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spacing w:before="39" w:after="0"/>
        <w:ind w:left="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</w:p>
    <w:p>
      <w:pPr>
        <w:pStyle w:val="TextBody"/>
        <w:spacing w:before="6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extBody"/>
        <w:widowControl w:val="false"/>
        <w:bidi w:val="0"/>
        <w:spacing w:lineRule="auto" w:line="276" w:before="0" w:after="0"/>
        <w:ind w:left="0" w:right="720" w:hanging="0"/>
        <w:jc w:val="left"/>
        <w:rPr/>
      </w:pPr>
      <w:r>
        <w:rPr>
          <w:rFonts w:ascii="Times New Roman" w:hAnsi="Times New Roman"/>
          <w:sz w:val="24"/>
          <w:szCs w:val="24"/>
        </w:rPr>
        <w:t>Утврђивањем испуњености формалних услова конкурса, конкурсна Комисија разматра пријаве у складу са условима конкурса и оцењује програме, односно пројекте, на основу следећих критеријума:</w:t>
      </w:r>
    </w:p>
    <w:p>
      <w:pPr>
        <w:pStyle w:val="TextBody"/>
        <w:spacing w:before="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left" w:pos="118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референце програма: облааст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>
      <w:pPr>
        <w:pStyle w:val="ListParagraph"/>
        <w:numPr>
          <w:ilvl w:val="0"/>
          <w:numId w:val="5"/>
        </w:numPr>
        <w:tabs>
          <w:tab w:val="left" w:pos="1182" w:leader="none"/>
        </w:tabs>
        <w:spacing w:before="4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циљеви који се постижу:обим задовољавања јавног интереса, степен унапређења области у којој се програм спроводи;</w:t>
      </w:r>
    </w:p>
    <w:p>
      <w:pPr>
        <w:pStyle w:val="ListParagraph"/>
        <w:numPr>
          <w:ilvl w:val="0"/>
          <w:numId w:val="5"/>
        </w:numPr>
        <w:tabs>
          <w:tab w:val="left" w:pos="1182" w:leader="none"/>
        </w:tabs>
        <w:spacing w:before="4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суфинансирање програма из других извора: сопствених прихода, буџета Републике Србије, аутономне покрајне или јединице локалне самопуправе, фондова Европске уније, поклона, донација, легата,  кредита и друго, у случају недостајућег дела средстава за финансирање програма;</w:t>
      </w:r>
    </w:p>
    <w:p>
      <w:pPr>
        <w:pStyle w:val="ListParagraph"/>
        <w:numPr>
          <w:ilvl w:val="0"/>
          <w:numId w:val="5"/>
        </w:numPr>
        <w:tabs>
          <w:tab w:val="left" w:pos="1182" w:leader="none"/>
        </w:tabs>
        <w:spacing w:before="39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законитост и ефикасност коришћења средстава и одрживост ранијих програма: ако су раније коришћена срества буџета, испуњење уговрених обавеза по раније закљученим уговорима.</w:t>
      </w:r>
    </w:p>
    <w:p>
      <w:pPr>
        <w:pStyle w:val="TextBody"/>
        <w:spacing w:before="5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widowControl w:val="false"/>
        <w:bidi w:val="0"/>
        <w:spacing w:lineRule="auto" w:line="276" w:before="1" w:after="0"/>
        <w:ind w:left="0" w:right="720" w:hanging="0"/>
        <w:jc w:val="left"/>
        <w:rPr/>
      </w:pPr>
      <w:r>
        <w:rPr>
          <w:rFonts w:ascii="Times New Roman" w:hAnsi="Times New Roman"/>
          <w:sz w:val="24"/>
          <w:szCs w:val="24"/>
        </w:rPr>
        <w:t>Подносилац пројекта се обавезује да од укупног буџета пројекта, средства распореди на  следећи начин:</w:t>
      </w:r>
    </w:p>
    <w:p>
      <w:pPr>
        <w:pStyle w:val="ListParagraph"/>
        <w:numPr>
          <w:ilvl w:val="0"/>
          <w:numId w:val="2"/>
        </w:numPr>
        <w:tabs>
          <w:tab w:val="left" w:pos="1222" w:leader="none"/>
        </w:tabs>
        <w:spacing w:lineRule="auto" w:line="276" w:before="196" w:after="0"/>
        <w:ind w:left="0" w:right="57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20% за људске ресурсе одн. лица ангажована на пројекту (изузев у случају када је програмом и пројектом предвиђена надокнада за обављање неке активности од изузетног значаја за ширу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заједницу)</w:t>
      </w:r>
    </w:p>
    <w:p>
      <w:pPr>
        <w:pStyle w:val="TextBody"/>
        <w:spacing w:before="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1155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10% за путне трошкове (укључујући трошкове превоза и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дневнице)</w:t>
      </w:r>
    </w:p>
    <w:p>
      <w:pPr>
        <w:pStyle w:val="TextBody"/>
        <w:spacing w:before="8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1155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преко 60% за директне пројектне активности и набавку одговарајуће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опреме/добара</w:t>
      </w:r>
    </w:p>
    <w:p>
      <w:pPr>
        <w:pStyle w:val="TextBody"/>
        <w:spacing w:before="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spacing w:lineRule="auto" w:line="276"/>
        <w:rPr/>
      </w:pPr>
      <w:r>
        <w:rPr>
          <w:rFonts w:ascii="Times New Roman" w:hAnsi="Times New Roman"/>
          <w:sz w:val="24"/>
          <w:szCs w:val="24"/>
        </w:rPr>
        <w:t xml:space="preserve">На интернет страници </w:t>
      </w:r>
      <w:hyperlink r:id="rId3">
        <w:r>
          <w:rPr>
            <w:rStyle w:val="InternetLink"/>
            <w:rFonts w:ascii="Times New Roman" w:hAnsi="Times New Roman"/>
            <w:sz w:val="24"/>
            <w:szCs w:val="24"/>
          </w:rPr>
          <w:t>www. gadzinhan.rs</w:t>
        </w:r>
      </w:hyperlink>
      <w:r>
        <w:rPr>
          <w:rFonts w:ascii="Times New Roman" w:hAnsi="Times New Roman"/>
          <w:sz w:val="24"/>
          <w:szCs w:val="24"/>
        </w:rPr>
        <w:t xml:space="preserve"> налази се Листа критеријума за рангирање предлога пројекта/програма.</w:t>
      </w:r>
    </w:p>
    <w:p>
      <w:pPr>
        <w:pStyle w:val="TextBody"/>
        <w:spacing w:lineRule="auto" w:line="276" w:before="195" w:after="0"/>
        <w:ind w:left="960" w:right="576" w:hanging="360"/>
        <w:jc w:val="both"/>
        <w:rPr/>
      </w:pPr>
      <w:r>
        <w:rPr>
          <w:rFonts w:ascii="Times New Roman" w:hAnsi="Times New Roman"/>
          <w:sz w:val="24"/>
          <w:szCs w:val="24"/>
        </w:rPr>
        <w:t>На основу оцене програма, односно пројекта, Комисија сачињава Листу вредновања и рангирања пријављених пројекта и програма са навођењем износа новчаних средстава који би био додељен одређеном удружењу  до 10.04.2019. године  године и објављује  је  на званичној интернет   страници www.gadzinhan.rs и огласним таблама ОУ Гаџин Хан.</w:t>
      </w:r>
    </w:p>
    <w:p>
      <w:pPr>
        <w:pStyle w:val="TextBody"/>
        <w:spacing w:lineRule="auto" w:line="276" w:before="195" w:after="0"/>
        <w:ind w:left="960" w:right="576" w:hanging="36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TextBody"/>
        <w:widowControl w:val="false"/>
        <w:bidi w:val="0"/>
        <w:spacing w:lineRule="auto" w:line="276" w:before="0" w:after="0"/>
        <w:ind w:left="0" w:right="540" w:hanging="0"/>
        <w:jc w:val="both"/>
        <w:rPr/>
      </w:pPr>
      <w:r>
        <w:rPr>
          <w:rFonts w:ascii="Times New Roman" w:hAnsi="Times New Roman"/>
          <w:sz w:val="24"/>
          <w:szCs w:val="24"/>
        </w:rPr>
        <w:t>Подносиоци пријава на јавни КОНКУРС имају право увида у поднете пријаве и приложену документацију по утврђивању предлога Листе вредновања и рангирања пријављених пројекта и програма. На листу, Подносиоци пријава имају право приговора у року од 3 дана од дана њеног објављивања. Одлуку о приговору, конкурсна Комисија доноси у року од 15 дана од дана његовог пријема.</w:t>
      </w:r>
    </w:p>
    <w:p>
      <w:pPr>
        <w:pStyle w:val="TextBody"/>
        <w:spacing w:before="5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widowControl w:val="false"/>
        <w:bidi w:val="0"/>
        <w:spacing w:lineRule="auto" w:line="276" w:before="41" w:after="0"/>
        <w:ind w:left="0" w:right="540" w:hanging="0"/>
        <w:jc w:val="both"/>
        <w:rPr/>
      </w:pPr>
      <w:r>
        <w:rPr>
          <w:rFonts w:ascii="Times New Roman" w:hAnsi="Times New Roman"/>
          <w:sz w:val="24"/>
          <w:szCs w:val="24"/>
        </w:rPr>
        <w:t>На основу предлога одлуке Комисије, општинско веће доноси Одлуку о финансирању/суфинансирању програма од јавног интереса које реализују удружења и који се финансирају из буџета општине Гаџин Хан са приоритетима у додели подељених средстава, а према предложеним пројектима и програмима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удружења, и која ће бити објављена на званичној интернет страници www.gadzinhan.rs, огласним таблама ОУ Гаџин Хан и у локалним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медијима.</w:t>
      </w:r>
    </w:p>
    <w:p>
      <w:pPr>
        <w:pStyle w:val="TextBody"/>
        <w:spacing w:before="5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widowControl w:val="false"/>
        <w:bidi w:val="0"/>
        <w:spacing w:lineRule="auto" w:line="276" w:before="0" w:after="0"/>
        <w:ind w:left="0" w:right="540" w:hanging="0"/>
        <w:jc w:val="both"/>
        <w:rPr/>
      </w:pPr>
      <w:r>
        <w:rPr>
          <w:rFonts w:ascii="Times New Roman" w:hAnsi="Times New Roman"/>
          <w:sz w:val="24"/>
          <w:szCs w:val="24"/>
        </w:rPr>
        <w:t>На основу Одлуке, начелник општинске управе општине Гаџин Хан закључује појединачне уговоре о финансирању/суфинансирању програма од јавног интереса које реализују удружења и који се финансирају из буџета општине Гаџин Хан.</w:t>
      </w:r>
    </w:p>
    <w:p>
      <w:pPr>
        <w:pStyle w:val="Heading1"/>
        <w:spacing w:lineRule="auto" w:line="276"/>
        <w:ind w:left="0" w:right="58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widowControl w:val="false"/>
        <w:bidi w:val="0"/>
        <w:spacing w:lineRule="auto" w:line="276" w:before="0" w:after="0"/>
        <w:ind w:left="0" w:right="540" w:hanging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Уговором се утврђују права, обавезе и одговорности уговорних страна, начин и рок за пренос одобрених средстава, рок за реализацију програма, односно пројекта, начин извештавања о реализацији програма односно пројекта, као и друга права и обавезе уговорних страна.</w:t>
      </w:r>
    </w:p>
    <w:p>
      <w:pPr>
        <w:pStyle w:val="TextBody"/>
        <w:tabs>
          <w:tab w:val="left" w:pos="4238" w:leader="none"/>
        </w:tabs>
        <w:spacing w:before="194" w:after="0"/>
        <w:ind w:left="9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 ЈЕ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ОТВОРЕН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 01.04.2019.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године.</w:t>
      </w:r>
    </w:p>
    <w:p>
      <w:pPr>
        <w:pStyle w:val="TextBody"/>
        <w:spacing w:before="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spacing w:lineRule="auto" w:line="276"/>
        <w:ind w:left="240" w:right="574" w:firstLine="719"/>
        <w:jc w:val="both"/>
        <w:rPr/>
      </w:pPr>
      <w:r>
        <w:rPr>
          <w:rFonts w:ascii="Times New Roman" w:hAnsi="Times New Roman"/>
          <w:sz w:val="24"/>
          <w:szCs w:val="24"/>
        </w:rPr>
        <w:t>За све ближе информације погледајте јавни КОНКУРС на интернет страници www.gadzinhan.rs или општинској управи општине Гаџин Хан.</w:t>
      </w:r>
    </w:p>
    <w:p>
      <w:pPr>
        <w:pStyle w:val="TextBody"/>
        <w:spacing w:lineRule="auto" w:line="276"/>
        <w:ind w:left="240" w:right="574" w:firstLine="719"/>
        <w:jc w:val="both"/>
        <w:rPr>
          <w:rFonts w:ascii="Times New Roman" w:hAnsi="Times New Roman"/>
          <w:sz w:val="24"/>
          <w:szCs w:val="24"/>
        </w:rPr>
      </w:pPr>
      <w:r>
        <w:rPr>
          <w:lang w:val="sr-RS"/>
        </w:rPr>
      </w:r>
    </w:p>
    <w:p>
      <w:pPr>
        <w:pStyle w:val="TextBody"/>
        <w:spacing w:lineRule="auto" w:line="276"/>
        <w:ind w:left="240" w:right="574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>
      <w:pPr>
        <w:pStyle w:val="TextBody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Комисија за расподелу средстава удружењима грађана</w:t>
      </w:r>
    </w:p>
    <w:sectPr>
      <w:type w:val="nextPage"/>
      <w:pgSz w:w="12240" w:h="15840"/>
      <w:pgMar w:left="1200" w:right="810" w:header="0" w:top="1100" w:footer="0" w:bottom="16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2"/>
        <w:szCs w:val="22"/>
        <w:w w:val="100"/>
        <w:rFonts w:cs="Symbol"/>
      </w:rPr>
    </w:lvl>
    <w:lvl w:ilvl="1">
      <w:start w:val="1"/>
      <w:numFmt w:val="decimal"/>
      <w:lvlText w:val="%2."/>
      <w:lvlJc w:val="left"/>
      <w:pPr>
        <w:ind w:left="1181" w:hanging="219"/>
      </w:pPr>
      <w:rPr>
        <w:sz w:val="22"/>
        <w:szCs w:val="22"/>
        <w:w w:val="100"/>
        <w:rFonts w:eastAsia="Calibri" w:cs="Times New Roman"/>
      </w:rPr>
    </w:lvl>
    <w:lvl w:ilvl="2">
      <w:start w:val="1"/>
      <w:numFmt w:val="decimal"/>
      <w:lvlText w:val="%3."/>
      <w:lvlJc w:val="left"/>
      <w:pPr>
        <w:ind w:left="1306" w:hanging="219"/>
      </w:pPr>
      <w:rPr>
        <w:sz w:val="24"/>
        <w:szCs w:val="22"/>
        <w:w w:val="100"/>
        <w:rFonts w:ascii="Times New Roman" w:hAnsi="Times New Roman" w:eastAsia="Calibri" w:cs="Calibri"/>
      </w:rPr>
    </w:lvl>
    <w:lvl w:ilvl="3">
      <w:start w:val="1"/>
      <w:numFmt w:val="bullet"/>
      <w:lvlText w:val=""/>
      <w:lvlJc w:val="left"/>
      <w:pPr>
        <w:ind w:left="2477" w:hanging="21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55" w:hanging="21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2" w:hanging="21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10" w:hanging="21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87" w:hanging="21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65" w:hanging="219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240" w:hanging="183"/>
      </w:pPr>
      <w:rPr>
        <w:rFonts w:ascii="Calibri" w:hAnsi="Calibri" w:cs="Calibri" w:hint="default"/>
        <w:sz w:val="24"/>
        <w:szCs w:val="22"/>
        <w:w w:val="100"/>
        <w:rFonts w:cs="Calibri"/>
      </w:rPr>
    </w:lvl>
    <w:lvl w:ilvl="1">
      <w:start w:val="1"/>
      <w:numFmt w:val="bullet"/>
      <w:lvlText w:val=""/>
      <w:lvlJc w:val="left"/>
      <w:pPr>
        <w:ind w:left="1288" w:hanging="1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6" w:hanging="1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4" w:hanging="1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2" w:hanging="1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0" w:hanging="1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28" w:hanging="1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76" w:hanging="1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4" w:hanging="1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40" w:hanging="161"/>
      </w:pPr>
      <w:rPr>
        <w:rFonts w:ascii="Calibri" w:hAnsi="Calibri" w:cs="Calibri" w:hint="default"/>
        <w:sz w:val="24"/>
        <w:szCs w:val="22"/>
        <w:w w:val="100"/>
        <w:rFonts w:cs="Calibri"/>
      </w:rPr>
    </w:lvl>
    <w:lvl w:ilvl="1">
      <w:start w:val="1"/>
      <w:numFmt w:val="bullet"/>
      <w:lvlText w:val=""/>
      <w:lvlJc w:val="left"/>
      <w:pPr>
        <w:ind w:left="1288" w:hanging="1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6" w:hanging="1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84" w:hanging="1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32" w:hanging="1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0" w:hanging="1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28" w:hanging="1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76" w:hanging="1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4" w:hanging="161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1421" w:hanging="360"/>
      </w:pPr>
      <w:rPr>
        <w:rFonts w:ascii="Times New Roman" w:hAnsi="Times New Roman" w:cs="Times New Roman" w:hint="default"/>
        <w:sz w:val="22"/>
        <w:szCs w:val="22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  <w:sz w:val="24"/>
        <w:szCs w:val="22"/>
        <w:w w:val="100"/>
        <w:rFonts w:cs="Symbol"/>
      </w:rPr>
    </w:lvl>
    <w:lvl w:ilvl="2">
      <w:start w:val="1"/>
      <w:numFmt w:val="bullet"/>
      <w:lvlText w:val=""/>
      <w:lvlJc w:val="left"/>
      <w:pPr>
        <w:ind w:left="268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9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9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0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1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1181" w:hanging="219"/>
      </w:pPr>
      <w:rPr>
        <w:sz w:val="24"/>
        <w:szCs w:val="22"/>
        <w:w w:val="100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77427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1"/>
    <w:qFormat/>
    <w:rsid w:val="00477427"/>
    <w:pPr>
      <w:ind w:left="433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477427"/>
    <w:rPr>
      <w:rFonts w:ascii="Calibri" w:hAnsi="Calibri" w:eastAsia="Calibri" w:cs="Times New Roman"/>
      <w:b/>
      <w:bCs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477427"/>
    <w:rPr>
      <w:rFonts w:ascii="Calibri" w:hAnsi="Calibri" w:eastAsia="Calibri" w:cs="Times New Roman"/>
    </w:rPr>
  </w:style>
  <w:style w:type="character" w:styleId="InternetLink">
    <w:name w:val="Internet Link"/>
    <w:basedOn w:val="DefaultParagraphFont"/>
    <w:uiPriority w:val="99"/>
    <w:unhideWhenUsed/>
    <w:rsid w:val="00477427"/>
    <w:rPr>
      <w:color w:val="0000FF" w:themeColor="hyperlink"/>
      <w:u w:val="single"/>
    </w:rPr>
  </w:style>
  <w:style w:type="character" w:styleId="ListLabel1">
    <w:name w:val="ListLabel 1"/>
    <w:qFormat/>
    <w:rPr>
      <w:rFonts w:eastAsia="Symbol" w:cs="Symbol"/>
      <w:w w:val="100"/>
      <w:sz w:val="22"/>
      <w:szCs w:val="22"/>
    </w:rPr>
  </w:style>
  <w:style w:type="character" w:styleId="ListLabel2">
    <w:name w:val="ListLabel 2"/>
    <w:qFormat/>
    <w:rPr>
      <w:rFonts w:eastAsia="Calibri" w:cs="Times New Roman"/>
      <w:w w:val="100"/>
      <w:sz w:val="22"/>
      <w:szCs w:val="22"/>
    </w:rPr>
  </w:style>
  <w:style w:type="character" w:styleId="ListLabel3">
    <w:name w:val="ListLabel 3"/>
    <w:qFormat/>
    <w:rPr>
      <w:rFonts w:ascii="Times New Roman" w:hAnsi="Times New Roman" w:eastAsia="Calibri" w:cs="Calibri"/>
      <w:w w:val="100"/>
      <w:sz w:val="24"/>
      <w:szCs w:val="22"/>
    </w:rPr>
  </w:style>
  <w:style w:type="character" w:styleId="ListLabel4">
    <w:name w:val="ListLabel 4"/>
    <w:qFormat/>
    <w:rPr>
      <w:rFonts w:ascii="Times New Roman" w:hAnsi="Times New Roman" w:eastAsia="Calibri" w:cs="Calibri"/>
      <w:w w:val="100"/>
      <w:sz w:val="24"/>
      <w:szCs w:val="22"/>
    </w:rPr>
  </w:style>
  <w:style w:type="character" w:styleId="ListLabel5">
    <w:name w:val="ListLabel 5"/>
    <w:qFormat/>
    <w:rPr>
      <w:rFonts w:ascii="Times New Roman" w:hAnsi="Times New Roman" w:eastAsia="Calibri" w:cs="Calibri"/>
      <w:w w:val="100"/>
      <w:sz w:val="24"/>
      <w:szCs w:val="22"/>
    </w:rPr>
  </w:style>
  <w:style w:type="character" w:styleId="ListLabel6">
    <w:name w:val="ListLabel 6"/>
    <w:qFormat/>
    <w:rPr>
      <w:rFonts w:eastAsia="Times New Roman" w:cs="Times New Roman"/>
      <w:w w:val="100"/>
      <w:sz w:val="22"/>
      <w:szCs w:val="22"/>
    </w:rPr>
  </w:style>
  <w:style w:type="character" w:styleId="ListLabel7">
    <w:name w:val="ListLabel 7"/>
    <w:qFormat/>
    <w:rPr>
      <w:rFonts w:ascii="Times New Roman" w:hAnsi="Times New Roman" w:eastAsia="Symbol" w:cs="Symbol"/>
      <w:w w:val="100"/>
      <w:sz w:val="24"/>
      <w:szCs w:val="22"/>
    </w:rPr>
  </w:style>
  <w:style w:type="character" w:styleId="ListLabel8">
    <w:name w:val="ListLabel 8"/>
    <w:qFormat/>
    <w:rPr>
      <w:rFonts w:ascii="Times New Roman" w:hAnsi="Times New Roman" w:eastAsia="Calibri" w:cs="Times New Roman"/>
      <w:w w:val="100"/>
      <w:sz w:val="24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477427"/>
    <w:pPr/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477427"/>
    <w:pPr>
      <w:ind w:left="960" w:hanging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dzinhan.rs/" TargetMode="External"/><Relationship Id="rId3" Type="http://schemas.openxmlformats.org/officeDocument/2006/relationships/hyperlink" Target="http://www.novavaros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8E87-E46C-498E-8D8C-FC863EF6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LibreOffice/5.4.3.2$Windows_X86_64 LibreOffice_project/92a7159f7e4af62137622921e809f8546db437e5</Application>
  <Pages>5</Pages>
  <Words>1201</Words>
  <Characters>7385</Characters>
  <CharactersWithSpaces>8584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2019-03-15T08:56:00Z</dcterms:created>
  <dc:creator>aca</dc:creator>
  <dc:description/>
  <dc:language>en-US</dc:language>
  <cp:lastModifiedBy/>
  <dcterms:modified xsi:type="dcterms:W3CDTF">2019-03-15T12:59:26Z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