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AD3D0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D3D0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D3D07">
        <w:rPr>
          <w:rFonts w:ascii="Arial" w:hAnsi="Arial" w:cs="Arial"/>
          <w:sz w:val="22"/>
          <w:szCs w:val="22"/>
          <w:lang w:val="sr-Cyrl-CS"/>
        </w:rPr>
        <w:t>,89/2022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9178FB">
        <w:rPr>
          <w:rFonts w:ascii="Arial" w:hAnsi="Arial" w:cs="Arial"/>
          <w:sz w:val="22"/>
          <w:szCs w:val="22"/>
          <w:lang w:val="ru-RU"/>
        </w:rPr>
        <w:t>93</w:t>
      </w:r>
      <w:r w:rsidR="00574732">
        <w:rPr>
          <w:rFonts w:ascii="Arial" w:hAnsi="Arial" w:cs="Arial"/>
          <w:sz w:val="22"/>
          <w:szCs w:val="22"/>
          <w:lang w:val="ru-RU"/>
        </w:rPr>
        <w:t>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178FB">
        <w:rPr>
          <w:rFonts w:ascii="Arial" w:hAnsi="Arial" w:cs="Arial"/>
          <w:sz w:val="22"/>
          <w:szCs w:val="22"/>
          <w:lang w:val="ru-RU"/>
        </w:rPr>
        <w:t>2</w:t>
      </w:r>
      <w:r w:rsidR="004760E5">
        <w:rPr>
          <w:rFonts w:ascii="Arial" w:hAnsi="Arial" w:cs="Arial"/>
          <w:sz w:val="22"/>
          <w:szCs w:val="22"/>
          <w:lang w:val="ru-RU"/>
        </w:rPr>
        <w:t>4</w:t>
      </w:r>
      <w:r w:rsidR="00AD3D07">
        <w:rPr>
          <w:rFonts w:ascii="Arial" w:hAnsi="Arial" w:cs="Arial"/>
          <w:sz w:val="22"/>
          <w:szCs w:val="22"/>
          <w:lang w:val="ru-RU"/>
        </w:rPr>
        <w:t>.10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78FB">
        <w:rPr>
          <w:rFonts w:ascii="Arial" w:hAnsi="Arial" w:cs="Arial"/>
          <w:sz w:val="22"/>
          <w:szCs w:val="22"/>
        </w:rPr>
        <w:t>2</w:t>
      </w:r>
      <w:r w:rsidR="00F96B51">
        <w:rPr>
          <w:rFonts w:ascii="Arial" w:hAnsi="Arial" w:cs="Arial"/>
          <w:sz w:val="22"/>
          <w:szCs w:val="22"/>
          <w:lang/>
        </w:rPr>
        <w:t>4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AD3D07">
        <w:rPr>
          <w:rFonts w:ascii="Arial" w:hAnsi="Arial" w:cs="Arial"/>
          <w:sz w:val="22"/>
          <w:szCs w:val="22"/>
        </w:rPr>
        <w:t>октобра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178FB" w:rsidRPr="009178FB" w:rsidRDefault="009178FB" w:rsidP="009178FB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</w:t>
      </w:r>
      <w:r>
        <w:rPr>
          <w:rFonts w:ascii="Arial" w:hAnsi="Arial" w:cs="Arial"/>
          <w:lang w:val="sr-Cyrl-CS"/>
        </w:rPr>
        <w:t xml:space="preserve"> 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</w:t>
      </w:r>
      <w:r>
        <w:rPr>
          <w:rFonts w:ascii="Arial" w:hAnsi="Arial" w:cs="Arial"/>
          <w:lang w:val="ru-RU"/>
        </w:rPr>
        <w:t xml:space="preserve"> 116/2021,89/2022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9178FB" w:rsidRPr="000C648F" w:rsidRDefault="009178FB" w:rsidP="009178FB">
      <w:pPr>
        <w:ind w:left="1080"/>
        <w:jc w:val="both"/>
        <w:rPr>
          <w:rFonts w:ascii="Arial" w:hAnsi="Arial" w:cs="Arial"/>
          <w:lang w:val="ru-RU"/>
        </w:rPr>
      </w:pP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66.</w:t>
      </w:r>
    </w:p>
    <w:p w:rsidR="009178FB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  <w:r>
        <w:rPr>
          <w:rFonts w:ascii="Arial" w:hAnsi="Arial" w:cs="Arial"/>
          <w:b/>
          <w:lang w:val="sr-Cyrl-CS"/>
        </w:rPr>
        <w:t>,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</w:p>
    <w:p w:rsidR="00574732" w:rsidRDefault="009178FB" w:rsidP="00574732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b/>
          <w:lang w:val="sr-Cyrl-CS"/>
        </w:rPr>
        <w:t>ОДОБРАВАЈУ СЕ</w:t>
      </w:r>
      <w:r w:rsidRPr="00574732">
        <w:rPr>
          <w:rFonts w:ascii="Arial" w:hAnsi="Arial" w:cs="Arial"/>
          <w:lang w:val="sr-Cyrl-CS"/>
        </w:rPr>
        <w:t xml:space="preserve"> средства у износу од </w:t>
      </w:r>
      <w:r w:rsidR="00574732" w:rsidRPr="00574732">
        <w:rPr>
          <w:rFonts w:ascii="Arial" w:hAnsi="Arial" w:cs="Arial"/>
          <w:b/>
        </w:rPr>
        <w:t>351.</w:t>
      </w:r>
      <w:r w:rsidR="00574732" w:rsidRPr="00574732">
        <w:rPr>
          <w:rFonts w:ascii="Arial" w:hAnsi="Arial" w:cs="Arial"/>
          <w:b/>
          <w:lang w:val="sr-Cyrl-CS"/>
        </w:rPr>
        <w:t>000,00</w:t>
      </w:r>
      <w:r w:rsidR="00574732" w:rsidRPr="00574732">
        <w:rPr>
          <w:rFonts w:ascii="Arial" w:hAnsi="Arial" w:cs="Arial"/>
          <w:lang w:val="sr-Cyrl-CS"/>
        </w:rPr>
        <w:t xml:space="preserve"> динара </w:t>
      </w:r>
      <w:r w:rsidR="00574732" w:rsidRPr="00574732">
        <w:rPr>
          <w:rFonts w:ascii="Arial" w:hAnsi="Arial" w:cs="Arial"/>
          <w:lang w:val="sr-Latn-CS"/>
        </w:rPr>
        <w:t>(</w:t>
      </w:r>
      <w:r w:rsidR="00574732" w:rsidRPr="00574732">
        <w:rPr>
          <w:rFonts w:ascii="Arial" w:hAnsi="Arial" w:cs="Arial"/>
        </w:rPr>
        <w:t>тристотинепедесетједнухиљадудинара</w:t>
      </w:r>
      <w:r w:rsidR="00574732" w:rsidRPr="00574732">
        <w:rPr>
          <w:rFonts w:ascii="Arial" w:hAnsi="Arial" w:cs="Arial"/>
          <w:lang w:val="sr-Cyrl-CS"/>
        </w:rPr>
        <w:t xml:space="preserve">) Општинској управи Гаџин Хан за трошкове парничних поступака. </w:t>
      </w:r>
    </w:p>
    <w:p w:rsidR="00574732" w:rsidRDefault="00574732" w:rsidP="00574732">
      <w:pPr>
        <w:jc w:val="both"/>
        <w:rPr>
          <w:rFonts w:ascii="Arial" w:hAnsi="Arial" w:cs="Arial"/>
          <w:lang w:val="sr-Cyrl-CS"/>
        </w:rPr>
      </w:pPr>
    </w:p>
    <w:p w:rsidR="00574732" w:rsidRPr="00574732" w:rsidRDefault="00574732" w:rsidP="005747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574732">
        <w:rPr>
          <w:rFonts w:ascii="Arial" w:hAnsi="Arial" w:cs="Arial"/>
          <w:lang w:val="sr-Cyrl-CS"/>
        </w:rPr>
        <w:t xml:space="preserve"> у оквиру</w:t>
      </w:r>
    </w:p>
    <w:p w:rsidR="00574732" w:rsidRPr="00574732" w:rsidRDefault="00574732" w:rsidP="00574732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574732">
        <w:rPr>
          <w:rFonts w:ascii="Arial" w:hAnsi="Arial" w:cs="Arial"/>
          <w:b/>
          <w:lang w:val="sr-Cyrl-CS"/>
        </w:rPr>
        <w:t xml:space="preserve">Раздео </w:t>
      </w:r>
      <w:r w:rsidRPr="00574732">
        <w:rPr>
          <w:rFonts w:ascii="Arial" w:hAnsi="Arial" w:cs="Arial"/>
          <w:b/>
          <w:lang w:val="ru-RU"/>
        </w:rPr>
        <w:t>5</w:t>
      </w:r>
    </w:p>
    <w:p w:rsidR="00574732" w:rsidRPr="00574732" w:rsidRDefault="00574732" w:rsidP="00574732">
      <w:pPr>
        <w:ind w:left="1080"/>
        <w:jc w:val="both"/>
        <w:rPr>
          <w:rFonts w:ascii="Arial" w:hAnsi="Arial" w:cs="Arial"/>
          <w:b/>
          <w:lang w:val="sr-Cyrl-CS"/>
        </w:rPr>
      </w:pPr>
      <w:r w:rsidRPr="00574732">
        <w:rPr>
          <w:rFonts w:ascii="Arial" w:hAnsi="Arial" w:cs="Arial"/>
          <w:b/>
          <w:lang w:val="sr-Cyrl-CS"/>
        </w:rPr>
        <w:t xml:space="preserve">Програм </w:t>
      </w:r>
      <w:r w:rsidRPr="00574732">
        <w:rPr>
          <w:rFonts w:ascii="Arial" w:hAnsi="Arial" w:cs="Arial"/>
          <w:b/>
          <w:lang w:val="ru-RU"/>
        </w:rPr>
        <w:t xml:space="preserve">15 </w:t>
      </w:r>
      <w:r w:rsidRPr="00574732">
        <w:rPr>
          <w:rFonts w:ascii="Arial" w:hAnsi="Arial" w:cs="Arial"/>
          <w:b/>
          <w:lang w:val="sr-Cyrl-CS"/>
        </w:rPr>
        <w:t>– ЛОКАЛНА САМОУПРАВА</w:t>
      </w:r>
    </w:p>
    <w:p w:rsidR="00574732" w:rsidRPr="00574732" w:rsidRDefault="00574732" w:rsidP="00574732">
      <w:pPr>
        <w:ind w:left="1080"/>
        <w:jc w:val="both"/>
        <w:rPr>
          <w:rFonts w:ascii="Arial" w:hAnsi="Arial" w:cs="Arial"/>
          <w:b/>
          <w:lang w:val="sr-Cyrl-CS"/>
        </w:rPr>
      </w:pPr>
      <w:r w:rsidRPr="00574732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574732" w:rsidRPr="00574732" w:rsidRDefault="00574732" w:rsidP="00574732">
      <w:pPr>
        <w:ind w:left="1080"/>
        <w:jc w:val="both"/>
        <w:rPr>
          <w:rFonts w:ascii="Arial" w:hAnsi="Arial" w:cs="Arial"/>
          <w:b/>
          <w:lang w:val="sr-Cyrl-CS"/>
        </w:rPr>
      </w:pPr>
      <w:r w:rsidRPr="00574732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574732" w:rsidRPr="00574732" w:rsidRDefault="00574732" w:rsidP="00574732">
      <w:pPr>
        <w:ind w:left="1080"/>
        <w:jc w:val="both"/>
        <w:rPr>
          <w:rFonts w:ascii="Arial" w:hAnsi="Arial" w:cs="Arial"/>
          <w:b/>
          <w:lang w:val="ru-RU"/>
        </w:rPr>
      </w:pPr>
      <w:r w:rsidRPr="00574732">
        <w:rPr>
          <w:rFonts w:ascii="Arial" w:hAnsi="Arial" w:cs="Arial"/>
          <w:b/>
          <w:lang w:val="sr-Cyrl-CS"/>
        </w:rPr>
        <w:t xml:space="preserve">Позиција </w:t>
      </w:r>
      <w:r w:rsidRPr="00574732">
        <w:rPr>
          <w:rFonts w:ascii="Arial" w:hAnsi="Arial" w:cs="Arial"/>
          <w:b/>
          <w:lang w:val="ru-RU"/>
        </w:rPr>
        <w:t>59</w:t>
      </w:r>
    </w:p>
    <w:p w:rsidR="00574732" w:rsidRPr="00574732" w:rsidRDefault="00574732" w:rsidP="00574732">
      <w:pPr>
        <w:ind w:left="1080"/>
        <w:jc w:val="both"/>
        <w:rPr>
          <w:rFonts w:ascii="Arial" w:hAnsi="Arial" w:cs="Arial"/>
          <w:b/>
        </w:rPr>
      </w:pPr>
      <w:r w:rsidRPr="00574732">
        <w:rPr>
          <w:rFonts w:ascii="Arial" w:hAnsi="Arial" w:cs="Arial"/>
          <w:b/>
          <w:lang w:val="sr-Cyrl-CS"/>
        </w:rPr>
        <w:t>Економска класификација 483111-Новчане казне и пенали по решењу судова</w:t>
      </w:r>
    </w:p>
    <w:p w:rsidR="00574732" w:rsidRPr="00574732" w:rsidRDefault="00574732" w:rsidP="00574732">
      <w:pPr>
        <w:pStyle w:val="ListParagraph"/>
        <w:ind w:left="1080"/>
        <w:rPr>
          <w:rFonts w:ascii="Arial" w:hAnsi="Arial" w:cs="Arial"/>
          <w:lang w:val="sr-Cyrl-CS"/>
        </w:rPr>
      </w:pPr>
    </w:p>
    <w:p w:rsidR="00574732" w:rsidRPr="00574732" w:rsidRDefault="00574732" w:rsidP="00574732">
      <w:pPr>
        <w:ind w:left="720"/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574732" w:rsidRPr="00574732" w:rsidRDefault="00574732" w:rsidP="00574732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>840-156640-76.</w:t>
      </w:r>
    </w:p>
    <w:p w:rsidR="00574732" w:rsidRPr="00574732" w:rsidRDefault="00574732" w:rsidP="00574732">
      <w:pPr>
        <w:ind w:firstLine="720"/>
        <w:rPr>
          <w:rFonts w:ascii="Arial" w:hAnsi="Arial" w:cs="Arial"/>
        </w:rPr>
      </w:pPr>
    </w:p>
    <w:p w:rsidR="00574732" w:rsidRPr="00574732" w:rsidRDefault="00574732" w:rsidP="00574732">
      <w:pPr>
        <w:jc w:val="both"/>
        <w:rPr>
          <w:rFonts w:ascii="Calibri" w:hAnsi="Calibri" w:cs="Calibri"/>
          <w:b/>
          <w:lang w:val="sr-Cyrl-CS"/>
        </w:rPr>
      </w:pPr>
    </w:p>
    <w:p w:rsidR="00574732" w:rsidRPr="00574732" w:rsidRDefault="00574732" w:rsidP="00574732">
      <w:pPr>
        <w:ind w:firstLine="720"/>
        <w:jc w:val="center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lastRenderedPageBreak/>
        <w:t>Образложење</w:t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  <w:r w:rsidRPr="00574732">
        <w:rPr>
          <w:rFonts w:ascii="Arial" w:hAnsi="Arial" w:cs="Arial"/>
          <w:lang w:val="sr-Cyrl-CS"/>
        </w:rPr>
        <w:softHyphen/>
      </w:r>
    </w:p>
    <w:p w:rsidR="00574732" w:rsidRPr="00574732" w:rsidRDefault="00574732" w:rsidP="00574732">
      <w:pPr>
        <w:ind w:firstLine="720"/>
        <w:jc w:val="both"/>
        <w:rPr>
          <w:rFonts w:ascii="Arial" w:hAnsi="Arial" w:cs="Arial"/>
        </w:rPr>
      </w:pPr>
    </w:p>
    <w:p w:rsidR="00574732" w:rsidRPr="00574732" w:rsidRDefault="00574732" w:rsidP="00574732">
      <w:pPr>
        <w:ind w:firstLine="720"/>
        <w:jc w:val="both"/>
        <w:rPr>
          <w:rFonts w:ascii="Arial" w:hAnsi="Arial" w:cs="Arial"/>
        </w:rPr>
      </w:pPr>
    </w:p>
    <w:p w:rsidR="00574732" w:rsidRPr="00574732" w:rsidRDefault="00574732" w:rsidP="00574732">
      <w:pPr>
        <w:ind w:firstLine="720"/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2022. годину  и финансијског плана Општинске управе Гаџин Хан утврђено је да на економској  класификацији 483100-Новчане казне и пенали по решењу судова нису планирана довољна средства за ове намене.</w:t>
      </w:r>
    </w:p>
    <w:p w:rsidR="00574732" w:rsidRPr="00574732" w:rsidRDefault="00574732" w:rsidP="00574732">
      <w:pPr>
        <w:jc w:val="both"/>
        <w:rPr>
          <w:rFonts w:ascii="Arial" w:hAnsi="Arial" w:cs="Arial"/>
          <w:b/>
          <w:lang w:val="sr-Cyrl-CS"/>
        </w:rPr>
      </w:pPr>
    </w:p>
    <w:p w:rsidR="00574732" w:rsidRPr="00574732" w:rsidRDefault="00574732" w:rsidP="00574732">
      <w:pPr>
        <w:jc w:val="both"/>
        <w:rPr>
          <w:rFonts w:ascii="Arial" w:hAnsi="Arial" w:cs="Arial"/>
          <w:lang w:val="ru-RU"/>
        </w:rPr>
      </w:pPr>
      <w:r w:rsidRPr="00574732">
        <w:rPr>
          <w:rFonts w:ascii="Arial" w:hAnsi="Arial" w:cs="Arial"/>
          <w:lang w:val="ru-RU"/>
        </w:rPr>
        <w:t>Општински правобранилац</w:t>
      </w:r>
      <w:r w:rsidRPr="00574732">
        <w:rPr>
          <w:rFonts w:ascii="Arial" w:hAnsi="Arial" w:cs="Arial"/>
        </w:rPr>
        <w:t xml:space="preserve"> општине Гаџин Хан</w:t>
      </w:r>
      <w:r w:rsidRPr="00574732">
        <w:rPr>
          <w:rFonts w:ascii="Arial" w:hAnsi="Arial" w:cs="Arial"/>
          <w:lang w:val="ru-RU"/>
        </w:rPr>
        <w:t xml:space="preserve"> 20.10.2022.године доставио је  Служби за буџет, финансије и локалну пореску администрацију општине предмете за плаћање на основу  вансудских поравнања са адвокатом Станковић Миланом из Ниша у предметима који се воде пред Основним судом у Нишу а односе се на експроприсане непокретности. Укупна обавеза по овим предметима износи 470.300,00 динара од чега за фактички експроприсану непокретност 40.300,00 динара и трошкове поступка 430.000,00 динара. Закључена су следећа вансудска поравнања:</w:t>
      </w:r>
    </w:p>
    <w:p w:rsidR="00574732" w:rsidRPr="00574732" w:rsidRDefault="00574732" w:rsidP="00574732">
      <w:pPr>
        <w:jc w:val="both"/>
        <w:rPr>
          <w:rFonts w:ascii="Arial" w:hAnsi="Arial" w:cs="Arial"/>
        </w:rPr>
      </w:pPr>
      <w:r w:rsidRPr="00574732">
        <w:rPr>
          <w:rFonts w:ascii="Arial" w:hAnsi="Arial" w:cs="Arial"/>
          <w:lang w:val="ru-RU"/>
        </w:rPr>
        <w:t xml:space="preserve">- 17.10.2022. године закључено је Вансудско поравнање број 70-158/22 између адвоката Станковић Милана из Ниша, Митровић Станоја из Гркиње и Општине Гаџин Хан којим се општина обавезује да на име накнаде за фактички експроприсану непокретност дела кп.бр.2684 КО Гркиња у површини од 7м2 исплати износ од 1.600,00 динара и износ од 81.900,00 динара на име трошкова поступка. </w:t>
      </w:r>
      <w:r w:rsidRPr="00574732">
        <w:rPr>
          <w:rFonts w:ascii="Arial" w:hAnsi="Arial" w:cs="Arial"/>
        </w:rPr>
        <w:t>Преко тужиочеве непокретности тужени-општина је просекао а потом и асфалтирао општински пут Горње Власе-Гркиња.</w:t>
      </w:r>
    </w:p>
    <w:p w:rsidR="00574732" w:rsidRPr="00574732" w:rsidRDefault="00574732" w:rsidP="00574732">
      <w:pPr>
        <w:jc w:val="both"/>
        <w:rPr>
          <w:rFonts w:ascii="Arial" w:hAnsi="Arial" w:cs="Arial"/>
        </w:rPr>
      </w:pPr>
      <w:r w:rsidRPr="00574732">
        <w:rPr>
          <w:rFonts w:ascii="Arial" w:hAnsi="Arial" w:cs="Arial"/>
          <w:lang w:val="ru-RU"/>
        </w:rPr>
        <w:t xml:space="preserve">- 17.10.2022. године закључено је Вансудско поравнање број 70-157/22 између адвоката Станковић Милана из Ниша, Петровић Љубинке из Ниша и Општине Гаџин Хан којим се општина обавезује да на име накнаде за фактички експроприсану непокретност дела кп.бр.1844/2 КО Горње Власе у површини од 30м2 исплати износ од 9.000,00 динара и износ од 81.900,00 динара на име трошкова поступка. </w:t>
      </w:r>
      <w:r w:rsidRPr="00574732">
        <w:rPr>
          <w:rFonts w:ascii="Arial" w:hAnsi="Arial" w:cs="Arial"/>
        </w:rPr>
        <w:t>Преко тужиочеве непокретности тужени-општина је просекао а потом и асфалтирао општински пут Горње Власе-Гркиња.</w:t>
      </w:r>
    </w:p>
    <w:p w:rsidR="00574732" w:rsidRPr="00574732" w:rsidRDefault="00574732" w:rsidP="00574732">
      <w:pPr>
        <w:jc w:val="both"/>
        <w:rPr>
          <w:rFonts w:ascii="Arial" w:hAnsi="Arial" w:cs="Arial"/>
        </w:rPr>
      </w:pPr>
      <w:r w:rsidRPr="00574732">
        <w:rPr>
          <w:rFonts w:ascii="Arial" w:hAnsi="Arial" w:cs="Arial"/>
          <w:lang w:val="ru-RU"/>
        </w:rPr>
        <w:t xml:space="preserve">- 17.10.2022. године закључено је Вансудско поравнање број 70-156/22 између адвоката Станковић Милана из Ниша, Миљковић Богдана из Гркиње и Општине Гаџин Хан којим се општина обавезује да на име накнаде за фактички експроприсану непокретност дела кп.бр.2689 КО Гркиња у површини од 15м2 исплати износ од 3.450,00 динара и износ од 81.900,00 динара на име трошкова поступка. </w:t>
      </w:r>
      <w:r w:rsidRPr="00574732">
        <w:rPr>
          <w:rFonts w:ascii="Arial" w:hAnsi="Arial" w:cs="Arial"/>
        </w:rPr>
        <w:t>Преко тужиочеве непокретности тужени-општина је просекао а потом и асфалтирао општински пут Горње Власе-Гркиња.</w:t>
      </w:r>
    </w:p>
    <w:p w:rsidR="00574732" w:rsidRPr="00574732" w:rsidRDefault="00574732" w:rsidP="00574732">
      <w:pPr>
        <w:jc w:val="both"/>
        <w:rPr>
          <w:rFonts w:ascii="Arial" w:hAnsi="Arial" w:cs="Arial"/>
        </w:rPr>
      </w:pPr>
      <w:r w:rsidRPr="00574732">
        <w:rPr>
          <w:rFonts w:ascii="Arial" w:hAnsi="Arial" w:cs="Arial"/>
          <w:lang w:val="ru-RU"/>
        </w:rPr>
        <w:lastRenderedPageBreak/>
        <w:t xml:space="preserve">- 17.10.2022. године закључено је Вансудско поравнање број 70-151/22 између адвоката Станковић Милана из Ниша, Станимировић Слађане из Гркиње и Општине Гаџин Хан којим се општина обавезује да на име накнаде за фактички експроприсану непокретност дела кп.бр.7404/2 КО Гркиња у површини од 44м2 исплати износ од 10.150,00 динара и износ од 91.900,00 динара на име трошкова поступка. </w:t>
      </w:r>
      <w:r w:rsidRPr="00574732">
        <w:rPr>
          <w:rFonts w:ascii="Arial" w:hAnsi="Arial" w:cs="Arial"/>
        </w:rPr>
        <w:t>Преко тужиочеве непокретности тужени-општина је просекао а потом и асфалтирао општински пут Горње Власе-Гркиња.</w:t>
      </w:r>
    </w:p>
    <w:p w:rsidR="00574732" w:rsidRPr="00574732" w:rsidRDefault="00574732" w:rsidP="00574732">
      <w:pPr>
        <w:jc w:val="both"/>
        <w:rPr>
          <w:rFonts w:ascii="Arial" w:hAnsi="Arial" w:cs="Arial"/>
        </w:rPr>
      </w:pPr>
      <w:r w:rsidRPr="00574732">
        <w:rPr>
          <w:rFonts w:ascii="Arial" w:hAnsi="Arial" w:cs="Arial"/>
          <w:lang w:val="ru-RU"/>
        </w:rPr>
        <w:t xml:space="preserve">- 17.10.2022. године закључено је Вансудско поравнање број 70-150/22 између адвоката Станковић Милана из Ниша, Илић Стојанке из Гркиње и Општине Гаџин Хан којим се општина обавезује да на име накнаде за фактички експроприсану непокретност дела кп.бр.3114 КО Гркиња у површини од 70м2 исплати износ од 16.100,00 динара и износ од 92.400,00 динара на име трошкова поступка. </w:t>
      </w:r>
      <w:r w:rsidRPr="00574732">
        <w:rPr>
          <w:rFonts w:ascii="Arial" w:hAnsi="Arial" w:cs="Arial"/>
        </w:rPr>
        <w:t>Преко тужиочеве непокретности тужени-општина је просекао а потом и асфалтирао општински пут Горње Власе-Гркиња.</w:t>
      </w:r>
    </w:p>
    <w:p w:rsidR="00574732" w:rsidRPr="00574732" w:rsidRDefault="00574732" w:rsidP="00574732">
      <w:pPr>
        <w:jc w:val="both"/>
        <w:rPr>
          <w:rFonts w:ascii="Arial" w:hAnsi="Arial" w:cs="Arial"/>
          <w:lang w:val="ru-RU"/>
        </w:rPr>
      </w:pPr>
    </w:p>
    <w:p w:rsidR="00574732" w:rsidRPr="00574732" w:rsidRDefault="00574732" w:rsidP="00574732">
      <w:pPr>
        <w:jc w:val="both"/>
        <w:rPr>
          <w:rFonts w:ascii="Arial" w:hAnsi="Arial" w:cs="Arial"/>
          <w:lang w:val="ru-RU"/>
        </w:rPr>
      </w:pPr>
      <w:r w:rsidRPr="00574732">
        <w:rPr>
          <w:rFonts w:ascii="Arial" w:hAnsi="Arial" w:cs="Arial"/>
          <w:lang w:val="ru-RU"/>
        </w:rPr>
        <w:t xml:space="preserve">За надокнаду фактички експроприсане непокретности постоје обезбеђена средства у Одлуци о првом ребалансу  буџета општине Гаџин Хан за 2022.годину на економској класификацији 485. </w:t>
      </w:r>
    </w:p>
    <w:p w:rsidR="00574732" w:rsidRPr="00574732" w:rsidRDefault="00574732" w:rsidP="00574732">
      <w:pPr>
        <w:jc w:val="both"/>
        <w:rPr>
          <w:rFonts w:ascii="Arial" w:hAnsi="Arial" w:cs="Arial"/>
          <w:lang w:val="ru-RU"/>
        </w:rPr>
      </w:pPr>
    </w:p>
    <w:p w:rsidR="00574732" w:rsidRPr="00574732" w:rsidRDefault="00574732" w:rsidP="00574732">
      <w:pPr>
        <w:jc w:val="both"/>
        <w:rPr>
          <w:rFonts w:ascii="Arial" w:hAnsi="Arial" w:cs="Arial"/>
          <w:lang w:val="ru-RU"/>
        </w:rPr>
      </w:pPr>
      <w:r w:rsidRPr="00574732">
        <w:rPr>
          <w:rFonts w:ascii="Arial" w:hAnsi="Arial" w:cs="Arial"/>
          <w:lang w:val="ru-RU"/>
        </w:rPr>
        <w:t xml:space="preserve">За надокнаду парничних трошкова на економској .класификацији 483, позиција 59, </w:t>
      </w:r>
      <w:r w:rsidRPr="00574732">
        <w:rPr>
          <w:rFonts w:ascii="Arial" w:hAnsi="Arial" w:cs="Arial"/>
        </w:rPr>
        <w:t xml:space="preserve">расположива средства износе 79.711,27 динара </w:t>
      </w:r>
      <w:r w:rsidRPr="00574732">
        <w:rPr>
          <w:rFonts w:ascii="Arial" w:hAnsi="Arial" w:cs="Arial"/>
          <w:lang w:val="ru-RU"/>
        </w:rPr>
        <w:t>па</w:t>
      </w:r>
      <w:r>
        <w:rPr>
          <w:rFonts w:ascii="Arial" w:hAnsi="Arial" w:cs="Arial"/>
          <w:lang w:val="ru-RU"/>
        </w:rPr>
        <w:t xml:space="preserve"> се </w:t>
      </w:r>
      <w:r w:rsidRPr="00574732">
        <w:rPr>
          <w:rFonts w:ascii="Arial" w:hAnsi="Arial" w:cs="Arial"/>
          <w:lang w:val="ru-RU"/>
        </w:rPr>
        <w:t xml:space="preserve">из текуће буџетске резерве </w:t>
      </w:r>
      <w:r>
        <w:rPr>
          <w:rFonts w:ascii="Arial" w:hAnsi="Arial" w:cs="Arial"/>
          <w:lang w:val="ru-RU"/>
        </w:rPr>
        <w:t xml:space="preserve">издваја </w:t>
      </w:r>
      <w:r w:rsidRPr="00574732">
        <w:rPr>
          <w:rFonts w:ascii="Arial" w:hAnsi="Arial" w:cs="Arial"/>
          <w:lang w:val="ru-RU"/>
        </w:rPr>
        <w:t>износ од 350.288,73 динара како би се покрили настали парнични трошкови.</w:t>
      </w:r>
    </w:p>
    <w:p w:rsidR="00574732" w:rsidRPr="00574732" w:rsidRDefault="00574732" w:rsidP="00574732">
      <w:pPr>
        <w:ind w:firstLine="720"/>
        <w:jc w:val="both"/>
        <w:rPr>
          <w:rFonts w:ascii="Arial" w:hAnsi="Arial" w:cs="Arial"/>
        </w:rPr>
      </w:pPr>
      <w:r w:rsidRPr="00574732">
        <w:rPr>
          <w:rFonts w:ascii="Arial" w:hAnsi="Arial" w:cs="Arial"/>
        </w:rPr>
        <w:t>.</w:t>
      </w:r>
    </w:p>
    <w:p w:rsidR="00574732" w:rsidRPr="00574732" w:rsidRDefault="00574732" w:rsidP="00574732">
      <w:pPr>
        <w:ind w:firstLine="720"/>
        <w:jc w:val="both"/>
        <w:rPr>
          <w:rFonts w:ascii="Arial" w:hAnsi="Arial" w:cs="Arial"/>
        </w:rPr>
      </w:pPr>
    </w:p>
    <w:p w:rsidR="004760E5" w:rsidRPr="00574732" w:rsidRDefault="004760E5" w:rsidP="00574732">
      <w:pPr>
        <w:jc w:val="both"/>
        <w:rPr>
          <w:rFonts w:ascii="Arial" w:hAnsi="Arial" w:cs="Arial"/>
        </w:rPr>
      </w:pPr>
    </w:p>
    <w:p w:rsidR="004760E5" w:rsidRPr="00574732" w:rsidRDefault="004760E5" w:rsidP="004760E5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0344A7" w:rsidRPr="00574732" w:rsidRDefault="00B2632B" w:rsidP="004760E5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>Број: 06-</w:t>
      </w:r>
      <w:r w:rsidRPr="00574732">
        <w:rPr>
          <w:rFonts w:ascii="Arial" w:hAnsi="Arial" w:cs="Arial"/>
          <w:lang w:val="sr-Latn-CS"/>
        </w:rPr>
        <w:t>400-</w:t>
      </w:r>
      <w:r w:rsidR="00F96B51">
        <w:rPr>
          <w:rFonts w:ascii="Arial" w:hAnsi="Arial" w:cs="Arial"/>
          <w:lang/>
        </w:rPr>
        <w:t>502</w:t>
      </w:r>
      <w:r w:rsidR="0020664A" w:rsidRPr="00574732">
        <w:rPr>
          <w:rFonts w:ascii="Arial" w:hAnsi="Arial" w:cs="Arial"/>
        </w:rPr>
        <w:t>/</w:t>
      </w:r>
      <w:r w:rsidR="00F95543" w:rsidRPr="00574732">
        <w:rPr>
          <w:rFonts w:ascii="Arial" w:hAnsi="Arial" w:cs="Arial"/>
        </w:rPr>
        <w:t>2</w:t>
      </w:r>
      <w:r w:rsidR="002E1B97" w:rsidRPr="00574732">
        <w:rPr>
          <w:rFonts w:ascii="Arial" w:hAnsi="Arial" w:cs="Arial"/>
        </w:rPr>
        <w:t>2</w:t>
      </w:r>
      <w:r w:rsidRPr="00574732">
        <w:rPr>
          <w:rFonts w:ascii="Arial" w:hAnsi="Arial" w:cs="Arial"/>
          <w:lang w:val="sr-Cyrl-CS"/>
        </w:rPr>
        <w:t>-III</w:t>
      </w:r>
    </w:p>
    <w:p w:rsidR="00C61372" w:rsidRPr="00574732" w:rsidRDefault="00164985" w:rsidP="00B2632B">
      <w:pPr>
        <w:rPr>
          <w:rFonts w:ascii="Arial" w:hAnsi="Arial" w:cs="Arial"/>
        </w:rPr>
      </w:pPr>
      <w:r w:rsidRPr="00574732">
        <w:rPr>
          <w:rFonts w:ascii="Arial" w:hAnsi="Arial" w:cs="Arial"/>
          <w:lang w:val="sr-Cyrl-CS"/>
        </w:rPr>
        <w:t>У</w:t>
      </w:r>
      <w:r w:rsidR="00B2632B" w:rsidRPr="00574732">
        <w:rPr>
          <w:rFonts w:ascii="Arial" w:hAnsi="Arial" w:cs="Arial"/>
          <w:lang w:val="sr-Cyrl-CS"/>
        </w:rPr>
        <w:t xml:space="preserve"> Гаџином Хану,</w:t>
      </w:r>
      <w:r w:rsidR="002308F3" w:rsidRPr="00574732">
        <w:rPr>
          <w:rFonts w:ascii="Arial" w:hAnsi="Arial" w:cs="Arial"/>
          <w:lang w:val="sr-Cyrl-CS"/>
        </w:rPr>
        <w:t xml:space="preserve"> </w:t>
      </w:r>
      <w:r w:rsidR="00F96B51">
        <w:rPr>
          <w:rFonts w:ascii="Arial" w:hAnsi="Arial" w:cs="Arial"/>
          <w:lang w:val="sr-Cyrl-CS"/>
        </w:rPr>
        <w:t>24</w:t>
      </w:r>
      <w:r w:rsidR="00AD3D07" w:rsidRPr="00574732">
        <w:rPr>
          <w:rFonts w:ascii="Arial" w:hAnsi="Arial" w:cs="Arial"/>
          <w:lang w:val="sr-Cyrl-CS"/>
        </w:rPr>
        <w:t>.10</w:t>
      </w:r>
      <w:r w:rsidR="008220E4" w:rsidRPr="00574732">
        <w:rPr>
          <w:rFonts w:ascii="Arial" w:hAnsi="Arial" w:cs="Arial"/>
          <w:lang w:val="sr-Cyrl-CS"/>
        </w:rPr>
        <w:t>.2022</w:t>
      </w:r>
      <w:r w:rsidR="00C61372" w:rsidRPr="00574732">
        <w:rPr>
          <w:rFonts w:ascii="Arial" w:hAnsi="Arial" w:cs="Arial"/>
          <w:lang w:val="sr-Cyrl-CS"/>
        </w:rPr>
        <w:t>.године</w:t>
      </w:r>
    </w:p>
    <w:p w:rsidR="003E1B6E" w:rsidRPr="00574732" w:rsidRDefault="003E1B6E" w:rsidP="00B2632B">
      <w:pPr>
        <w:rPr>
          <w:rFonts w:ascii="Arial" w:hAnsi="Arial" w:cs="Arial"/>
        </w:rPr>
      </w:pPr>
    </w:p>
    <w:p w:rsidR="003E1B6E" w:rsidRPr="00574732" w:rsidRDefault="003E1B6E" w:rsidP="00B2632B">
      <w:pPr>
        <w:rPr>
          <w:rFonts w:ascii="Arial" w:hAnsi="Arial" w:cs="Arial"/>
        </w:rPr>
      </w:pPr>
    </w:p>
    <w:p w:rsidR="005F0884" w:rsidRPr="00574732" w:rsidRDefault="005F0884" w:rsidP="00B2632B">
      <w:pPr>
        <w:rPr>
          <w:rFonts w:ascii="Arial" w:hAnsi="Arial" w:cs="Arial"/>
        </w:rPr>
      </w:pPr>
    </w:p>
    <w:p w:rsidR="005F0884" w:rsidRPr="00574732" w:rsidRDefault="005F0884" w:rsidP="00B2632B">
      <w:pPr>
        <w:rPr>
          <w:rFonts w:ascii="Arial" w:hAnsi="Arial" w:cs="Arial"/>
        </w:rPr>
      </w:pPr>
    </w:p>
    <w:p w:rsidR="00B2632B" w:rsidRPr="00574732" w:rsidRDefault="0088393C" w:rsidP="00761E95">
      <w:pPr>
        <w:ind w:left="576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</w:t>
      </w:r>
      <w:r w:rsidR="00485CF6" w:rsidRPr="00574732">
        <w:rPr>
          <w:rFonts w:ascii="Arial" w:hAnsi="Arial" w:cs="Arial"/>
          <w:lang w:val="sr-Cyrl-CS"/>
        </w:rPr>
        <w:t>ПРЕДСЕДНИК</w:t>
      </w:r>
    </w:p>
    <w:p w:rsidR="00B2632B" w:rsidRPr="00574732" w:rsidRDefault="00E62E40" w:rsidP="00E62E40">
      <w:pPr>
        <w:ind w:left="4320"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  </w:t>
      </w:r>
      <w:r w:rsidR="00761E95" w:rsidRPr="00574732">
        <w:rPr>
          <w:rFonts w:ascii="Arial" w:hAnsi="Arial" w:cs="Arial"/>
          <w:lang w:val="sr-Cyrl-CS"/>
        </w:rPr>
        <w:t xml:space="preserve">  </w:t>
      </w:r>
      <w:r w:rsidR="0088393C" w:rsidRPr="00574732">
        <w:rPr>
          <w:rFonts w:ascii="Arial" w:hAnsi="Arial" w:cs="Arial"/>
          <w:lang w:val="sr-Cyrl-CS"/>
        </w:rPr>
        <w:t xml:space="preserve">  </w:t>
      </w:r>
      <w:r w:rsidR="00B2632B" w:rsidRPr="00574732">
        <w:rPr>
          <w:rFonts w:ascii="Arial" w:hAnsi="Arial" w:cs="Arial"/>
          <w:lang w:val="sr-Cyrl-CS"/>
        </w:rPr>
        <w:t>ОПШТИНСКО</w:t>
      </w:r>
      <w:r w:rsidR="00485CF6" w:rsidRPr="00574732">
        <w:rPr>
          <w:rFonts w:ascii="Arial" w:hAnsi="Arial" w:cs="Arial"/>
          <w:lang w:val="sr-Cyrl-CS"/>
        </w:rPr>
        <w:t xml:space="preserve">Г </w:t>
      </w:r>
      <w:r w:rsidR="00B2632B" w:rsidRPr="00574732">
        <w:rPr>
          <w:rFonts w:ascii="Arial" w:hAnsi="Arial" w:cs="Arial"/>
          <w:lang w:val="sr-Cyrl-CS"/>
        </w:rPr>
        <w:t xml:space="preserve"> ВЕЋ</w:t>
      </w:r>
      <w:r w:rsidR="00485CF6" w:rsidRPr="00574732">
        <w:rPr>
          <w:rFonts w:ascii="Arial" w:hAnsi="Arial" w:cs="Arial"/>
          <w:lang w:val="sr-Cyrl-CS"/>
        </w:rPr>
        <w:t>А</w:t>
      </w:r>
      <w:r w:rsidR="00B2632B" w:rsidRPr="00574732">
        <w:rPr>
          <w:rFonts w:ascii="Arial" w:hAnsi="Arial" w:cs="Arial"/>
          <w:lang w:val="sr-Cyrl-CS"/>
        </w:rPr>
        <w:t xml:space="preserve"> </w:t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  <w:t xml:space="preserve">   </w:t>
      </w:r>
      <w:r w:rsidR="003535DD" w:rsidRPr="00574732">
        <w:rPr>
          <w:rFonts w:ascii="Arial" w:hAnsi="Arial" w:cs="Arial"/>
        </w:rPr>
        <w:tab/>
        <w:t xml:space="preserve">   </w:t>
      </w:r>
      <w:r w:rsidR="00FA6FEC" w:rsidRPr="00574732">
        <w:rPr>
          <w:rFonts w:ascii="Arial" w:hAnsi="Arial" w:cs="Arial"/>
        </w:rPr>
        <w:tab/>
      </w:r>
      <w:r w:rsidR="00210611" w:rsidRPr="00574732">
        <w:rPr>
          <w:rFonts w:ascii="Arial" w:hAnsi="Arial" w:cs="Arial"/>
        </w:rPr>
        <w:tab/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7667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2"/>
  </w:num>
  <w:num w:numId="8">
    <w:abstractNumId w:val="18"/>
  </w:num>
  <w:num w:numId="9">
    <w:abstractNumId w:val="24"/>
  </w:num>
  <w:num w:numId="10">
    <w:abstractNumId w:val="7"/>
  </w:num>
  <w:num w:numId="11">
    <w:abstractNumId w:val="5"/>
  </w:num>
  <w:num w:numId="12">
    <w:abstractNumId w:val="27"/>
  </w:num>
  <w:num w:numId="13">
    <w:abstractNumId w:val="21"/>
  </w:num>
  <w:num w:numId="14">
    <w:abstractNumId w:val="28"/>
  </w:num>
  <w:num w:numId="15">
    <w:abstractNumId w:val="33"/>
  </w:num>
  <w:num w:numId="16">
    <w:abstractNumId w:val="3"/>
  </w:num>
  <w:num w:numId="17">
    <w:abstractNumId w:val="35"/>
  </w:num>
  <w:num w:numId="18">
    <w:abstractNumId w:val="8"/>
  </w:num>
  <w:num w:numId="19">
    <w:abstractNumId w:val="25"/>
  </w:num>
  <w:num w:numId="20">
    <w:abstractNumId w:val="23"/>
  </w:num>
  <w:num w:numId="21">
    <w:abstractNumId w:val="6"/>
  </w:num>
  <w:num w:numId="22">
    <w:abstractNumId w:val="34"/>
  </w:num>
  <w:num w:numId="23">
    <w:abstractNumId w:val="15"/>
  </w:num>
  <w:num w:numId="24">
    <w:abstractNumId w:val="4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7"/>
  </w:num>
  <w:num w:numId="28">
    <w:abstractNumId w:val="2"/>
  </w:num>
  <w:num w:numId="29">
    <w:abstractNumId w:val="29"/>
  </w:num>
  <w:num w:numId="30">
    <w:abstractNumId w:val="0"/>
  </w:num>
  <w:num w:numId="31">
    <w:abstractNumId w:val="30"/>
  </w:num>
  <w:num w:numId="32">
    <w:abstractNumId w:val="32"/>
  </w:num>
  <w:num w:numId="33">
    <w:abstractNumId w:val="22"/>
  </w:num>
  <w:num w:numId="34">
    <w:abstractNumId w:val="14"/>
  </w:num>
  <w:num w:numId="35">
    <w:abstractNumId w:val="11"/>
  </w:num>
  <w:num w:numId="36">
    <w:abstractNumId w:val="19"/>
  </w:num>
  <w:num w:numId="37">
    <w:abstractNumId w:val="16"/>
  </w:num>
  <w:num w:numId="38">
    <w:abstractNumId w:val="1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70F16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47925"/>
    <w:rsid w:val="00450EF9"/>
    <w:rsid w:val="00473DCE"/>
    <w:rsid w:val="004747AD"/>
    <w:rsid w:val="00475C37"/>
    <w:rsid w:val="004760E5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74732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092E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643D9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39F9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96B51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233</cp:revision>
  <cp:lastPrinted>2022-10-24T11:40:00Z</cp:lastPrinted>
  <dcterms:created xsi:type="dcterms:W3CDTF">2016-06-16T08:40:00Z</dcterms:created>
  <dcterms:modified xsi:type="dcterms:W3CDTF">2022-10-24T11:48:00Z</dcterms:modified>
</cp:coreProperties>
</file>