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D36D5">
        <w:rPr>
          <w:rFonts w:ascii="Arial" w:hAnsi="Arial" w:cs="Arial"/>
          <w:sz w:val="22"/>
          <w:szCs w:val="22"/>
        </w:rPr>
        <w:t>10</w:t>
      </w:r>
      <w:r w:rsidR="008F0667">
        <w:rPr>
          <w:rFonts w:ascii="Arial" w:hAnsi="Arial" w:cs="Arial"/>
          <w:sz w:val="22"/>
          <w:szCs w:val="22"/>
          <w:lang/>
        </w:rPr>
        <w:t>77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F0667">
        <w:rPr>
          <w:rFonts w:ascii="Arial" w:hAnsi="Arial" w:cs="Arial"/>
          <w:sz w:val="22"/>
          <w:szCs w:val="22"/>
          <w:lang w:val="ru-RU"/>
        </w:rPr>
        <w:t>0</w:t>
      </w:r>
      <w:r w:rsidR="00CD36D5">
        <w:rPr>
          <w:rFonts w:ascii="Arial" w:hAnsi="Arial" w:cs="Arial"/>
          <w:sz w:val="22"/>
          <w:szCs w:val="22"/>
        </w:rPr>
        <w:t>7.1</w:t>
      </w:r>
      <w:r w:rsidR="008F0667">
        <w:rPr>
          <w:rFonts w:ascii="Arial" w:hAnsi="Arial" w:cs="Arial"/>
          <w:sz w:val="22"/>
          <w:szCs w:val="22"/>
          <w:lang/>
        </w:rPr>
        <w:t>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F0667">
        <w:rPr>
          <w:rFonts w:ascii="Arial" w:hAnsi="Arial" w:cs="Arial"/>
          <w:sz w:val="22"/>
          <w:szCs w:val="22"/>
          <w:lang/>
        </w:rPr>
        <w:t>09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8F0667">
        <w:rPr>
          <w:rFonts w:ascii="Arial" w:hAnsi="Arial" w:cs="Arial"/>
          <w:sz w:val="22"/>
          <w:szCs w:val="22"/>
          <w:lang/>
        </w:rPr>
        <w:t>децембра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F0667" w:rsidRPr="008F0667" w:rsidRDefault="008F0667" w:rsidP="008F06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7E89">
        <w:rPr>
          <w:rFonts w:ascii="Arial" w:hAnsi="Arial" w:cs="Arial"/>
          <w:lang w:val="sr-Cyrl-CS"/>
        </w:rPr>
        <w:t xml:space="preserve">Из средстава утврђених Одлуком о првом ребалансу буџета општине Гаџин Хан за 2022. годину </w:t>
      </w:r>
      <w:r w:rsidRPr="000E7E89">
        <w:rPr>
          <w:rFonts w:ascii="Arial" w:hAnsi="Arial" w:cs="Arial"/>
          <w:lang w:val="ru-RU"/>
        </w:rPr>
        <w:t xml:space="preserve"> (“Службени лист града Ниша”  број 116/2021,89/2022)</w:t>
      </w:r>
      <w:r w:rsidRPr="000E7E89">
        <w:rPr>
          <w:rFonts w:ascii="Arial" w:hAnsi="Arial" w:cs="Arial"/>
          <w:lang w:val="sr-Cyrl-CS"/>
        </w:rPr>
        <w:t>:</w:t>
      </w:r>
    </w:p>
    <w:p w:rsidR="008F0667" w:rsidRPr="000E7E89" w:rsidRDefault="008F0667" w:rsidP="008F06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Раздео 5 </w:t>
      </w: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Позиција 66.</w:t>
      </w:r>
    </w:p>
    <w:p w:rsidR="008F0667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резерве,</w:t>
      </w:r>
    </w:p>
    <w:p w:rsidR="008F0667" w:rsidRPr="000E7E89" w:rsidRDefault="008F0667" w:rsidP="008F0667">
      <w:pPr>
        <w:ind w:left="720"/>
        <w:jc w:val="both"/>
        <w:rPr>
          <w:rFonts w:ascii="Arial" w:hAnsi="Arial" w:cs="Arial"/>
          <w:b/>
          <w:lang w:val="sr-Cyrl-CS"/>
        </w:rPr>
      </w:pPr>
    </w:p>
    <w:p w:rsidR="008F0667" w:rsidRDefault="008F0667" w:rsidP="008F0667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0E7E89">
        <w:rPr>
          <w:rFonts w:ascii="Arial" w:hAnsi="Arial" w:cs="Arial"/>
          <w:lang w:val="sr-Cyrl-CS"/>
        </w:rPr>
        <w:t xml:space="preserve"> средства у износу од </w:t>
      </w:r>
      <w:r w:rsidRPr="000E7E89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  <w:lang/>
        </w:rPr>
        <w:t>0</w:t>
      </w:r>
      <w:r w:rsidRPr="000E7E89">
        <w:rPr>
          <w:rFonts w:ascii="Arial" w:hAnsi="Arial" w:cs="Arial"/>
          <w:b/>
          <w:lang/>
        </w:rPr>
        <w:t>.</w:t>
      </w:r>
      <w:r>
        <w:rPr>
          <w:rFonts w:ascii="Arial" w:hAnsi="Arial" w:cs="Arial"/>
          <w:b/>
          <w:lang/>
        </w:rPr>
        <w:t>0</w:t>
      </w:r>
      <w:r w:rsidRPr="000E7E89">
        <w:rPr>
          <w:rFonts w:ascii="Arial" w:hAnsi="Arial" w:cs="Arial"/>
          <w:b/>
          <w:lang/>
        </w:rPr>
        <w:t>00</w:t>
      </w:r>
      <w:r w:rsidRPr="000E7E89">
        <w:rPr>
          <w:rFonts w:ascii="Arial" w:hAnsi="Arial" w:cs="Arial"/>
          <w:b/>
          <w:lang w:val="sr-Cyrl-CS"/>
        </w:rPr>
        <w:t>,00</w:t>
      </w:r>
      <w:r w:rsidRPr="000E7E89">
        <w:rPr>
          <w:rFonts w:ascii="Arial" w:hAnsi="Arial" w:cs="Arial"/>
          <w:lang w:val="sr-Cyrl-CS"/>
        </w:rPr>
        <w:t xml:space="preserve"> динара </w:t>
      </w:r>
      <w:r w:rsidRPr="000E7E89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/>
        </w:rPr>
        <w:t>двадесетхиљада</w:t>
      </w:r>
      <w:r w:rsidRPr="000E7E89">
        <w:rPr>
          <w:rFonts w:ascii="Arial" w:hAnsi="Arial" w:cs="Arial"/>
          <w:lang/>
        </w:rPr>
        <w:t>динара</w:t>
      </w:r>
      <w:r w:rsidRPr="000E7E89">
        <w:rPr>
          <w:rFonts w:ascii="Arial" w:hAnsi="Arial" w:cs="Arial"/>
          <w:lang w:val="sr-Cyrl-CS"/>
        </w:rPr>
        <w:t xml:space="preserve">) Општинској управи Гаџин Хан за трошкове </w:t>
      </w:r>
      <w:r>
        <w:rPr>
          <w:rFonts w:ascii="Arial" w:hAnsi="Arial" w:cs="Arial"/>
          <w:lang w:val="sr-Cyrl-CS"/>
        </w:rPr>
        <w:t>законске затезне камате на основу пресуде Основног суда у Нишу</w:t>
      </w:r>
      <w:r w:rsidRPr="000E7E89">
        <w:rPr>
          <w:rFonts w:ascii="Arial" w:hAnsi="Arial" w:cs="Arial"/>
          <w:lang w:val="sr-Cyrl-CS"/>
        </w:rPr>
        <w:t>.</w:t>
      </w:r>
    </w:p>
    <w:p w:rsidR="008F0667" w:rsidRPr="000E7E89" w:rsidRDefault="008F0667" w:rsidP="008F0667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:</w:t>
      </w:r>
    </w:p>
    <w:p w:rsidR="008F0667" w:rsidRDefault="008F0667" w:rsidP="008F0667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распоредити у оквиру</w:t>
      </w:r>
      <w:r>
        <w:rPr>
          <w:rFonts w:ascii="Arial" w:hAnsi="Arial" w:cs="Arial"/>
          <w:lang w:val="sr-Cyrl-CS"/>
        </w:rPr>
        <w:t>:</w:t>
      </w:r>
    </w:p>
    <w:p w:rsidR="008F0667" w:rsidRPr="000E7E89" w:rsidRDefault="008F0667" w:rsidP="008F0667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8F0667" w:rsidRPr="000E7E89" w:rsidRDefault="008F0667" w:rsidP="008F0667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8F0667" w:rsidRPr="000E7E89" w:rsidRDefault="008F0667" w:rsidP="008F0667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8F0667" w:rsidRPr="000E7E89" w:rsidRDefault="008F0667" w:rsidP="008F0667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8F0667" w:rsidRPr="000E7E89" w:rsidRDefault="008F0667" w:rsidP="008F0667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 w:rsidRPr="000E7E89">
        <w:rPr>
          <w:rFonts w:ascii="Arial" w:hAnsi="Arial" w:cs="Arial"/>
          <w:b/>
          <w:lang w:val="ru-RU"/>
        </w:rPr>
        <w:t>59</w:t>
      </w:r>
    </w:p>
    <w:p w:rsidR="008F0667" w:rsidRPr="000E7E89" w:rsidRDefault="008F0667" w:rsidP="008F0667">
      <w:pPr>
        <w:ind w:left="1080"/>
        <w:jc w:val="both"/>
        <w:rPr>
          <w:rFonts w:ascii="Arial" w:hAnsi="Arial" w:cs="Arial"/>
          <w:b/>
        </w:rPr>
      </w:pPr>
      <w:r w:rsidRPr="000E7E89">
        <w:rPr>
          <w:rFonts w:ascii="Arial" w:hAnsi="Arial" w:cs="Arial"/>
          <w:b/>
          <w:lang w:val="sr-Cyrl-CS"/>
        </w:rPr>
        <w:t>Економска класификација 483111-Новчане казне и пенали по решењу судова</w:t>
      </w:r>
    </w:p>
    <w:p w:rsidR="008F0667" w:rsidRPr="000E7E89" w:rsidRDefault="008F0667" w:rsidP="008F0667">
      <w:pPr>
        <w:pStyle w:val="ListParagraph"/>
        <w:ind w:left="1080"/>
        <w:rPr>
          <w:rFonts w:ascii="Arial" w:hAnsi="Arial" w:cs="Arial"/>
          <w:lang w:val="sr-Cyrl-CS"/>
        </w:rPr>
      </w:pPr>
    </w:p>
    <w:p w:rsidR="008F0667" w:rsidRPr="000E7E89" w:rsidRDefault="008F0667" w:rsidP="008F0667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F0667" w:rsidRPr="000E7E89" w:rsidRDefault="008F0667" w:rsidP="008F0667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840-156640-76.</w:t>
      </w:r>
    </w:p>
    <w:p w:rsidR="008F0667" w:rsidRDefault="008F0667" w:rsidP="008F0667">
      <w:pPr>
        <w:ind w:firstLine="720"/>
        <w:rPr>
          <w:rFonts w:ascii="Arial" w:hAnsi="Arial" w:cs="Arial"/>
          <w:lang/>
        </w:rPr>
      </w:pPr>
    </w:p>
    <w:p w:rsidR="008F0667" w:rsidRPr="000E7E89" w:rsidRDefault="008F0667" w:rsidP="008F0667">
      <w:pPr>
        <w:ind w:firstLine="720"/>
        <w:rPr>
          <w:rFonts w:ascii="Arial" w:hAnsi="Arial" w:cs="Arial"/>
          <w:lang/>
        </w:rPr>
      </w:pPr>
    </w:p>
    <w:p w:rsidR="008F0667" w:rsidRPr="000E7E89" w:rsidRDefault="008F0667" w:rsidP="008F0667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lastRenderedPageBreak/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8F0667" w:rsidRPr="000E7E89" w:rsidRDefault="008F0667" w:rsidP="008F0667">
      <w:pPr>
        <w:ind w:firstLine="720"/>
        <w:jc w:val="both"/>
        <w:rPr>
          <w:rFonts w:ascii="Arial" w:hAnsi="Arial" w:cs="Arial"/>
          <w:lang/>
        </w:rPr>
      </w:pPr>
    </w:p>
    <w:p w:rsidR="008F0667" w:rsidRDefault="008F0667" w:rsidP="008F0667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2022. годину  и финансијског плана Општинске управе Гаџин Хан утврђено је да на економској  класификацији 483100-Новчане казне и пенали по решењу судова нису планирана довољна средства за ове намене.</w:t>
      </w:r>
    </w:p>
    <w:p w:rsidR="008F0667" w:rsidRPr="000E7E89" w:rsidRDefault="008F0667" w:rsidP="008F0667">
      <w:pPr>
        <w:ind w:firstLine="720"/>
        <w:jc w:val="both"/>
        <w:rPr>
          <w:rFonts w:ascii="Arial" w:hAnsi="Arial" w:cs="Arial"/>
          <w:lang w:val="sr-Cyrl-CS"/>
        </w:rPr>
      </w:pP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Општинско веће Општине Гаџин Хан на седници одржаној 25.фебруара 2022.године донело је Одлуку о прибављању покретних ствари у јавну својину општине непосредном погодбом. На основу Одлуке 30.03.2022.године закључен је уговор о куповини добара (број 400-164/22-</w:t>
      </w:r>
      <w:r>
        <w:rPr>
          <w:rFonts w:ascii="Arial" w:hAnsi="Arial" w:cs="Arial"/>
        </w:rPr>
        <w:t>I)</w:t>
      </w:r>
      <w:r>
        <w:rPr>
          <w:rFonts w:ascii="Arial" w:hAnsi="Arial" w:cs="Arial"/>
          <w:lang w:val="ru-RU"/>
        </w:rPr>
        <w:t xml:space="preserve"> између општине Гаџин Хан и Милета Ранђеловића из Ниша и уговорена укупна купопродајна цена пет уграђених бетонских бандера, кабла и пратеће опреме на раскрсници у Барју у износу од 452.659,20 динара. </w:t>
      </w: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Обавеза по овом уговору није измирена у законском року јер је општина Гаџин Хан била у поступку израде првог ребаланса буџета, а продавац Миле Ранђеловић је у међувремену поднео тужбу против општине Гаџин Хан. Основни суд у Нишу дана 28.10.2022.године донео је пресуду на основу признања  19 П бр. 4475/22 којом се усваја захтев тужиоца Милета Ранђеловића и обавезује општина Гаџин Хан да тужиоцу исплати на име дуга и купопродајне цене износ од 452.659,20 динара са законском затезном каматом почев од 27.07.2022.године. На основу обрачуна затезне камате  на дан 09.12.2022.године трошкови затезне камате износе </w:t>
      </w:r>
      <w:r w:rsidRPr="00A807F1">
        <w:rPr>
          <w:rFonts w:ascii="Arial" w:hAnsi="Arial" w:cs="Arial"/>
          <w:lang w:val="ru-RU"/>
        </w:rPr>
        <w:t>19.650,37</w:t>
      </w:r>
      <w:r>
        <w:rPr>
          <w:rFonts w:ascii="Arial" w:hAnsi="Arial" w:cs="Arial"/>
          <w:lang w:val="ru-RU"/>
        </w:rPr>
        <w:t xml:space="preserve"> динара. Ови трошкови књиже се на економској класификацији 483, позиција 59. </w:t>
      </w: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исплату обавезе по напред наведеном уговору за куповину пет бандера и пратеће опреме постоје обезбеђена средства у Одлуци о првом ребалансу буџета за 2022.годину.</w:t>
      </w: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</w:p>
    <w:p w:rsidR="008F0667" w:rsidRDefault="008F0667" w:rsidP="008F06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Како су планирана средства Одлуком о првом ребалансу буџета за 2022.годину за ове намене у целости утрошена овај износ се обезбеђује из текуће буџетске резерве.</w:t>
      </w:r>
    </w:p>
    <w:p w:rsidR="00574732" w:rsidRPr="00574732" w:rsidRDefault="00574732" w:rsidP="00B10918">
      <w:pPr>
        <w:jc w:val="both"/>
        <w:rPr>
          <w:rFonts w:ascii="Arial" w:hAnsi="Arial" w:cs="Arial"/>
        </w:rPr>
      </w:pPr>
    </w:p>
    <w:p w:rsidR="000344A7" w:rsidRPr="00574732" w:rsidRDefault="00B2632B" w:rsidP="004760E5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C52A43">
        <w:rPr>
          <w:rFonts w:ascii="Arial" w:hAnsi="Arial" w:cs="Arial"/>
        </w:rPr>
        <w:t>5</w:t>
      </w:r>
      <w:r w:rsidR="004811E4">
        <w:rPr>
          <w:rFonts w:ascii="Arial" w:hAnsi="Arial" w:cs="Arial"/>
        </w:rPr>
        <w:t>95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2E1B97" w:rsidRPr="00574732">
        <w:rPr>
          <w:rFonts w:ascii="Arial" w:hAnsi="Arial" w:cs="Arial"/>
        </w:rPr>
        <w:t>2</w:t>
      </w:r>
      <w:r w:rsidRPr="00574732">
        <w:rPr>
          <w:rFonts w:ascii="Arial" w:hAnsi="Arial" w:cs="Arial"/>
          <w:lang w:val="sr-Cyrl-CS"/>
        </w:rPr>
        <w:t>-III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8F0667">
        <w:rPr>
          <w:rFonts w:ascii="Arial" w:hAnsi="Arial" w:cs="Arial"/>
          <w:lang w:val="sr-Cyrl-CS"/>
        </w:rPr>
        <w:t>09.12</w:t>
      </w:r>
      <w:r w:rsidR="008220E4" w:rsidRPr="00574732">
        <w:rPr>
          <w:rFonts w:ascii="Arial" w:hAnsi="Arial" w:cs="Arial"/>
          <w:lang w:val="sr-Cyrl-CS"/>
        </w:rPr>
        <w:t>.2022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5"/>
  </w:num>
  <w:num w:numId="10">
    <w:abstractNumId w:val="7"/>
  </w:num>
  <w:num w:numId="11">
    <w:abstractNumId w:val="5"/>
  </w:num>
  <w:num w:numId="12">
    <w:abstractNumId w:val="28"/>
  </w:num>
  <w:num w:numId="13">
    <w:abstractNumId w:val="21"/>
  </w:num>
  <w:num w:numId="14">
    <w:abstractNumId w:val="29"/>
  </w:num>
  <w:num w:numId="15">
    <w:abstractNumId w:val="34"/>
  </w:num>
  <w:num w:numId="16">
    <w:abstractNumId w:val="3"/>
  </w:num>
  <w:num w:numId="17">
    <w:abstractNumId w:val="36"/>
  </w:num>
  <w:num w:numId="18">
    <w:abstractNumId w:val="8"/>
  </w:num>
  <w:num w:numId="19">
    <w:abstractNumId w:val="26"/>
  </w:num>
  <w:num w:numId="20">
    <w:abstractNumId w:val="23"/>
  </w:num>
  <w:num w:numId="21">
    <w:abstractNumId w:val="6"/>
  </w:num>
  <w:num w:numId="22">
    <w:abstractNumId w:val="35"/>
  </w:num>
  <w:num w:numId="23">
    <w:abstractNumId w:val="15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8"/>
  </w:num>
  <w:num w:numId="28">
    <w:abstractNumId w:val="2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2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47925"/>
    <w:rsid w:val="00450EF9"/>
    <w:rsid w:val="00473DCE"/>
    <w:rsid w:val="004747AD"/>
    <w:rsid w:val="00475C37"/>
    <w:rsid w:val="004760E5"/>
    <w:rsid w:val="004811E4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3C8B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092E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0667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241</cp:revision>
  <cp:lastPrinted>2022-12-07T12:51:00Z</cp:lastPrinted>
  <dcterms:created xsi:type="dcterms:W3CDTF">2016-06-16T08:40:00Z</dcterms:created>
  <dcterms:modified xsi:type="dcterms:W3CDTF">2022-12-07T12:51:00Z</dcterms:modified>
</cp:coreProperties>
</file>