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color w:val="000000" w:themeColor="text1"/>
          <w:lang w:val="sr-Cyrl-RS"/>
          <w14:textFill>
            <w14:solidFill>
              <w14:schemeClr w14:val="tx1"/>
            </w14:solidFill>
          </w14:textFill>
        </w:rPr>
      </w:pPr>
      <w:bookmarkStart w:id="117" w:name="_GoBack"/>
      <w:bookmarkEnd w:id="117"/>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b/>
          <w:bCs/>
          <w:color w:val="000000" w:themeColor="text1"/>
          <w:lang w:val="sr-Cyrl-RS"/>
          <w14:textFill>
            <w14:solidFill>
              <w14:schemeClr w14:val="tx1"/>
            </w14:solidFill>
          </w14:textFill>
        </w:rPr>
      </w:pPr>
    </w:p>
    <w:p>
      <w:pPr>
        <w:jc w:val="center"/>
        <w:rPr>
          <w:rFonts w:ascii="Arial" w:hAnsi="Arial" w:cs="Arial"/>
          <w:b/>
          <w:bCs/>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r>
        <w:rPr>
          <w:rFonts w:ascii="Arial" w:hAnsi="Arial" w:cs="Arial"/>
          <w:color w:val="000000" w:themeColor="text1"/>
          <w:lang w:eastAsia="en-US"/>
          <w14:textFill>
            <w14:solidFill>
              <w14:schemeClr w14:val="tx1"/>
            </w14:solidFill>
          </w14:textFill>
        </w:rPr>
        <w:drawing>
          <wp:anchor distT="0" distB="0" distL="114300" distR="114300" simplePos="0" relativeHeight="251659264" behindDoc="0" locked="0" layoutInCell="1" allowOverlap="1">
            <wp:simplePos x="0" y="0"/>
            <wp:positionH relativeFrom="column">
              <wp:posOffset>1601470</wp:posOffset>
            </wp:positionH>
            <wp:positionV relativeFrom="paragraph">
              <wp:posOffset>156210</wp:posOffset>
            </wp:positionV>
            <wp:extent cx="2531110" cy="11849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email"/>
                    <a:stretch>
                      <a:fillRect/>
                    </a:stretch>
                  </pic:blipFill>
                  <pic:spPr>
                    <a:xfrm>
                      <a:off x="0" y="0"/>
                      <a:ext cx="2531110" cy="1184910"/>
                    </a:xfrm>
                    <a:prstGeom prst="rect">
                      <a:avLst/>
                    </a:prstGeom>
                    <a:noFill/>
                    <a:ln>
                      <a:noFill/>
                    </a:ln>
                  </pic:spPr>
                </pic:pic>
              </a:graphicData>
            </a:graphic>
          </wp:anchor>
        </w:drawing>
      </w: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spacing w:line="276" w:lineRule="auto"/>
        <w:jc w:val="center"/>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ПРОГРАМ РАЗВОЈА ТУРИЗМА ГАЏИН ХАН И АКЦИОНИ ПЛАН (2023 – 2027)</w:t>
      </w:r>
    </w:p>
    <w:p>
      <w:pPr>
        <w:jc w:val="right"/>
        <w:rPr>
          <w:rFonts w:ascii="Arial" w:hAnsi="Arial" w:cs="Arial"/>
          <w:color w:val="000000" w:themeColor="text1"/>
          <w:lang w:val="sr-Cyrl-RS"/>
          <w14:textFill>
            <w14:solidFill>
              <w14:schemeClr w14:val="tx1"/>
            </w14:solidFill>
          </w14:textFill>
        </w:rPr>
      </w:pPr>
    </w:p>
    <w:p>
      <w:pPr>
        <w:jc w:val="right"/>
        <w:rPr>
          <w:rFonts w:ascii="Arial" w:hAnsi="Arial" w:cs="Arial"/>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Гаџин Хан, децембар 2023.,</w:t>
      </w:r>
    </w:p>
    <w:p>
      <w:pPr>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br w:type="page"/>
      </w: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rPr>
          <w:rFonts w:ascii="Arial" w:hAnsi="Arial" w:cs="Arial"/>
          <w:b/>
          <w:bCs/>
          <w:color w:val="000000" w:themeColor="text1"/>
          <w:lang w:val="sr-Cyrl-RS"/>
          <w14:textFill>
            <w14:solidFill>
              <w14:schemeClr w14:val="tx1"/>
            </w14:solidFill>
          </w14:textFill>
        </w:rPr>
      </w:pPr>
    </w:p>
    <w:p>
      <w:pPr>
        <w:spacing w:line="360"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Програм развоја туризма Гаџин Хан и акциони план (2023-2027) садржи конкретне предлоге и смернице за развој и унапређење конкурентности туристичке понуде на територији општине Гаџин Хан. Сврха документа је да усмери локалну заједницу на одрживи развој туризма са посебним акцентом на зелени туризам. Туризам је у општини Гаџин Хан препознат као привредни потенцијал који може да подстакне економски раст и омогући стварање нових радних места. Стога, применом овог документа, локални туристички делатници ће моћи да усмере своје ресурсе и потенцијале и тиме створе нове пословне и економске перспективе целе заједнице.</w:t>
      </w:r>
    </w:p>
    <w:p>
      <w:pPr>
        <w:spacing w:line="360" w:lineRule="auto"/>
        <w:jc w:val="both"/>
        <w:rPr>
          <w:rFonts w:ascii="Arial" w:hAnsi="Arial" w:cs="Arial"/>
          <w:color w:val="000000" w:themeColor="text1"/>
          <w:lang w:val="sr-Cyrl-RS"/>
          <w14:textFill>
            <w14:solidFill>
              <w14:schemeClr w14:val="tx1"/>
            </w14:solidFill>
          </w14:textFill>
        </w:rPr>
      </w:pPr>
    </w:p>
    <w:p>
      <w:pPr>
        <w:spacing w:line="360"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Документ је састављен од стране компаније „Veselinov Tourism Consulting“</w:t>
      </w:r>
      <w:r>
        <w:rPr>
          <w:rFonts w:ascii="Arial" w:hAnsi="Arial" w:cs="Arial"/>
          <w:lang w:val="sr-Cyrl-RS"/>
        </w:rPr>
        <w:t xml:space="preserve"> </w:t>
      </w:r>
      <w:r>
        <w:rPr>
          <w:rFonts w:ascii="Arial" w:hAnsi="Arial" w:cs="Arial"/>
          <w:lang w:val="sr-Latn-RS"/>
        </w:rPr>
        <w:t>(VTC)</w:t>
      </w:r>
      <w:r>
        <w:rPr>
          <w:rFonts w:ascii="Arial" w:hAnsi="Arial" w:cs="Arial"/>
          <w:color w:val="000000" w:themeColor="text1"/>
          <w:lang w:val="sr-Cyrl-RS"/>
          <w14:textFill>
            <w14:solidFill>
              <w14:schemeClr w14:val="tx1"/>
            </w14:solidFill>
          </w14:textFill>
        </w:rPr>
        <w:t xml:space="preserve"> ангажовањем експерата у туризму Дејана Веселинова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и Јасмине Бељан Искрин.</w:t>
      </w:r>
    </w:p>
    <w:p>
      <w:pPr>
        <w:spacing w:line="360" w:lineRule="auto"/>
        <w:jc w:val="both"/>
        <w:rPr>
          <w:rFonts w:ascii="Arial" w:hAnsi="Arial" w:cs="Arial"/>
          <w:color w:val="000000" w:themeColor="text1"/>
          <w:highlight w:val="yellow"/>
          <w:lang w:val="sr-Cyrl-RS"/>
          <w14:textFill>
            <w14:solidFill>
              <w14:schemeClr w14:val="tx1"/>
            </w14:solidFill>
          </w14:textFill>
        </w:rPr>
      </w:pPr>
    </w:p>
    <w:p>
      <w:pPr>
        <w:spacing w:line="360" w:lineRule="auto"/>
        <w:jc w:val="both"/>
        <w:rPr>
          <w:rFonts w:ascii="Arial" w:hAnsi="Arial" w:cs="Arial"/>
          <w:color w:val="000000" w:themeColor="text1"/>
          <w:lang w:val="sr-Cyrl-RS"/>
          <w14:textFill>
            <w14:solidFill>
              <w14:schemeClr w14:val="tx1"/>
            </w14:solidFill>
          </w14:textFill>
        </w:rPr>
      </w:pPr>
      <w:bookmarkStart w:id="0" w:name="_Hlk114122784"/>
      <w:r>
        <w:rPr>
          <w:rFonts w:ascii="Arial" w:hAnsi="Arial" w:cs="Arial"/>
          <w:lang w:val="sr-Cyrl-RS"/>
        </w:rPr>
        <w:t>Програм развоја туризма Гаџин Хан и акциони план (2023-2027) настали су подршком Немачко-српске иницијативе за одрживи економски раст и запошљавање, коју спроводи</w:t>
      </w:r>
      <w:r>
        <w:rPr>
          <w:rFonts w:ascii="Arial" w:hAnsi="Arial" w:cs="Arial"/>
          <w:lang w:val="sr-Cyrl-RS" w:eastAsia="de-DE"/>
        </w:rPr>
        <w:t xml:space="preserve"> Немачка организација за међународну сарадњу (Deutsche Gesellschaft für Internationale Zusammenarbeit (GIZ) GmbH)</w:t>
      </w:r>
      <w:r>
        <w:rPr>
          <w:rFonts w:ascii="Arial" w:hAnsi="Arial" w:cs="Arial"/>
          <w:lang w:val="sr-Cyrl-RS"/>
        </w:rPr>
        <w:t xml:space="preserve">, а финансира немачко Савезно министарство за економску сарадњу и развој БМЗ. Ставови изнети у документу исказују искључиво ставове аутора и ни на који начин не представљају званичне ставове Немачко-српске иницијативе за одрживи економски раст и запошљавање, ни </w:t>
      </w:r>
      <w:r>
        <w:rPr>
          <w:rFonts w:ascii="Arial" w:hAnsi="Arial" w:cs="Arial"/>
          <w:lang w:val="sr-Cyrl-RS" w:eastAsia="de-DE"/>
        </w:rPr>
        <w:t>Немачка организације за међународну сарадњу (</w:t>
      </w:r>
      <w:r>
        <w:rPr>
          <w:rFonts w:ascii="Arial" w:hAnsi="Arial" w:cs="Arial"/>
          <w:lang w:val="sr-Latn-RS" w:eastAsia="de-DE"/>
        </w:rPr>
        <w:t>GIZ)</w:t>
      </w:r>
      <w:r>
        <w:rPr>
          <w:rFonts w:ascii="Arial" w:hAnsi="Arial" w:cs="Arial"/>
          <w:lang w:val="sr-Cyrl-RS"/>
        </w:rPr>
        <w:t>, нити немачког Савезног министарства за економску сарадњу и развој БМЗ</w:t>
      </w:r>
      <w:r>
        <w:rPr>
          <w:rFonts w:ascii="Arial" w:hAnsi="Arial" w:cs="Arial"/>
          <w:color w:val="000000" w:themeColor="text1"/>
          <w:lang w:val="sr-Cyrl-RS"/>
          <w14:textFill>
            <w14:solidFill>
              <w14:schemeClr w14:val="tx1"/>
            </w14:solidFill>
          </w14:textFill>
        </w:rPr>
        <w:t>.</w:t>
      </w:r>
    </w:p>
    <w:p>
      <w:pPr>
        <w:jc w:val="center"/>
        <w:rPr>
          <w:rFonts w:ascii="Arial" w:hAnsi="Arial" w:cs="Arial"/>
          <w:b/>
          <w:bCs/>
          <w:color w:val="000000" w:themeColor="text1"/>
          <w:lang w:val="sr-Cyrl-RS"/>
          <w14:textFill>
            <w14:solidFill>
              <w14:schemeClr w14:val="tx1"/>
            </w14:solidFill>
          </w14:textFill>
        </w:rPr>
      </w:pPr>
    </w:p>
    <w:p>
      <w:pPr>
        <w:jc w:val="center"/>
        <w:rPr>
          <w:rFonts w:ascii="Arial" w:hAnsi="Arial" w:cs="Arial"/>
          <w:b/>
          <w:bCs/>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p>
      <w:pPr>
        <w:jc w:val="center"/>
        <w:rPr>
          <w:rFonts w:ascii="Arial" w:hAnsi="Arial" w:cs="Arial"/>
          <w:color w:val="000000" w:themeColor="text1"/>
          <w:lang w:val="sr-Cyrl-RS"/>
          <w14:textFill>
            <w14:solidFill>
              <w14:schemeClr w14:val="tx1"/>
            </w14:solidFill>
          </w14:textFill>
        </w:rPr>
      </w:pPr>
    </w:p>
    <w:bookmarkEnd w:id="0"/>
    <w:p>
      <w:pPr>
        <w:jc w:val="cente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br w:type="page"/>
      </w:r>
    </w:p>
    <w:sdt>
      <w:sdtPr>
        <w:rPr>
          <w:rFonts w:ascii="Arial" w:hAnsi="Arial" w:eastAsia="Times New Roman" w:cs="Arial"/>
          <w:b/>
          <w:bCs w:val="0"/>
          <w:color w:val="000000" w:themeColor="text1"/>
          <w:sz w:val="24"/>
          <w:szCs w:val="24"/>
          <w:lang w:val="sr-Cyrl-RS" w:eastAsia="en-GB"/>
          <w14:textFill>
            <w14:solidFill>
              <w14:schemeClr w14:val="tx1"/>
            </w14:solidFill>
          </w14:textFill>
        </w:rPr>
        <w:id w:val="834266337"/>
        <w:docPartObj>
          <w:docPartGallery w:val="Table of Contents"/>
          <w:docPartUnique/>
        </w:docPartObj>
      </w:sdtPr>
      <w:sdtEndPr>
        <w:rPr>
          <w:rFonts w:ascii="Arial" w:hAnsi="Arial" w:eastAsia="Times New Roman" w:cs="Arial"/>
          <w:b w:val="0"/>
          <w:bCs w:val="0"/>
          <w:color w:val="000000" w:themeColor="text1"/>
          <w:sz w:val="24"/>
          <w:szCs w:val="24"/>
          <w:lang w:val="sr-Cyrl-RS" w:eastAsia="en-GB"/>
          <w14:textFill>
            <w14:solidFill>
              <w14:schemeClr w14:val="tx1"/>
            </w14:solidFill>
          </w14:textFill>
        </w:rPr>
      </w:sdtEndPr>
      <w:sdtContent>
        <w:p>
          <w:pPr>
            <w:pStyle w:val="47"/>
            <w:rPr>
              <w:rFonts w:ascii="Arial" w:hAnsi="Arial" w:cs="Arial"/>
              <w:b/>
              <w:bCs w:val="0"/>
              <w:color w:val="000000" w:themeColor="text1"/>
              <w:sz w:val="24"/>
              <w:szCs w:val="24"/>
              <w:lang w:val="sr-Cyrl-RS"/>
              <w14:textFill>
                <w14:solidFill>
                  <w14:schemeClr w14:val="tx1"/>
                </w14:solidFill>
              </w14:textFill>
            </w:rPr>
          </w:pPr>
          <w:r>
            <w:rPr>
              <w:rStyle w:val="42"/>
              <w:rFonts w:ascii="Arial" w:hAnsi="Arial" w:eastAsia="MS Gothic" w:cs="Arial"/>
              <w:b/>
              <w:bCs/>
              <w:color w:val="000000" w:themeColor="text1"/>
              <w:sz w:val="24"/>
              <w:szCs w:val="24"/>
              <w:lang w:val="sr-Cyrl-RS"/>
              <w14:textFill>
                <w14:solidFill>
                  <w14:schemeClr w14:val="tx1"/>
                </w14:solidFill>
              </w14:textFill>
            </w:rPr>
            <w:t>САДРЖАЈ</w:t>
          </w:r>
        </w:p>
        <w:p>
          <w:pPr>
            <w:pStyle w:val="31"/>
            <w:tabs>
              <w:tab w:val="right" w:leader="dot" w:pos="9030"/>
            </w:tabs>
            <w:rPr>
              <w:rFonts w:asciiTheme="minorHAnsi" w:hAnsiTheme="minorHAnsi" w:eastAsiaTheme="minorEastAsia" w:cstheme="minorBidi"/>
              <w:b w:val="0"/>
              <w:bCs w:val="0"/>
              <w:caps w:val="0"/>
              <w:sz w:val="22"/>
              <w:szCs w:val="22"/>
              <w:lang w:eastAsia="en-US"/>
            </w:rPr>
          </w:pPr>
          <w:r>
            <w:rPr>
              <w:rFonts w:ascii="Arial" w:hAnsi="Arial" w:cs="Arial"/>
              <w:b w:val="0"/>
              <w:bCs w:val="0"/>
              <w:color w:val="000000" w:themeColor="text1"/>
              <w:lang w:val="sr-Cyrl-RS"/>
              <w14:textFill>
                <w14:solidFill>
                  <w14:schemeClr w14:val="tx1"/>
                </w14:solidFill>
              </w14:textFill>
            </w:rPr>
            <w:fldChar w:fldCharType="begin"/>
          </w:r>
          <w:r>
            <w:rPr>
              <w:rFonts w:ascii="Arial" w:hAnsi="Arial" w:cs="Arial"/>
              <w:color w:val="000000" w:themeColor="text1"/>
              <w:lang w:val="sr-Cyrl-RS"/>
              <w14:textFill>
                <w14:solidFill>
                  <w14:schemeClr w14:val="tx1"/>
                </w14:solidFill>
              </w14:textFill>
            </w:rPr>
            <w:instrText xml:space="preserve"> TOC \o "1-3" \h \z \u </w:instrText>
          </w:r>
          <w:r>
            <w:rPr>
              <w:rFonts w:ascii="Arial" w:hAnsi="Arial" w:cs="Arial"/>
              <w:b w:val="0"/>
              <w:bCs w:val="0"/>
              <w:color w:val="000000" w:themeColor="text1"/>
              <w:lang w:val="sr-Cyrl-RS"/>
              <w14:textFill>
                <w14:solidFill>
                  <w14:schemeClr w14:val="tx1"/>
                </w14:solidFill>
              </w14:textFill>
            </w:rPr>
            <w:fldChar w:fldCharType="separate"/>
          </w:r>
          <w:r>
            <w:fldChar w:fldCharType="begin"/>
          </w:r>
          <w:r>
            <w:instrText xml:space="preserve"> HYPERLINK \l "_Toc159226507" </w:instrText>
          </w:r>
          <w:r>
            <w:fldChar w:fldCharType="separate"/>
          </w:r>
          <w:r>
            <w:rPr>
              <w:rStyle w:val="17"/>
              <w:rFonts w:ascii="Arial" w:hAnsi="Arial" w:eastAsia="Arial" w:cs="Arial"/>
              <w:lang w:val="sr-Cyrl-RS"/>
            </w:rPr>
            <w:t>1 . УВОД</w:t>
          </w:r>
          <w:r>
            <w:tab/>
          </w:r>
          <w:r>
            <w:fldChar w:fldCharType="begin"/>
          </w:r>
          <w:r>
            <w:instrText xml:space="preserve"> PAGEREF _Toc159226507 \h </w:instrText>
          </w:r>
          <w:r>
            <w:fldChar w:fldCharType="separate"/>
          </w:r>
          <w:r>
            <w:t>5</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"_Toc159226508" </w:instrText>
          </w:r>
          <w:r>
            <w:fldChar w:fldCharType="separate"/>
          </w:r>
          <w:r>
            <w:rPr>
              <w:rStyle w:val="17"/>
              <w:rFonts w:ascii="Arial" w:hAnsi="Arial" w:eastAsia="Arial" w:cs="Arial"/>
              <w:lang w:val="sr-Cyrl-RS"/>
            </w:rPr>
            <w:t>2 . МЕТОДОЛОГИЈА РАДА</w:t>
          </w:r>
          <w:r>
            <w:tab/>
          </w:r>
          <w:r>
            <w:fldChar w:fldCharType="begin"/>
          </w:r>
          <w:r>
            <w:instrText xml:space="preserve"> PAGEREF _Toc159226508 \h </w:instrText>
          </w:r>
          <w:r>
            <w:fldChar w:fldCharType="separate"/>
          </w:r>
          <w:r>
            <w:t>5</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"_Toc159226509" </w:instrText>
          </w:r>
          <w:r>
            <w:fldChar w:fldCharType="separate"/>
          </w:r>
          <w:r>
            <w:rPr>
              <w:rStyle w:val="17"/>
              <w:rFonts w:ascii="Arial" w:hAnsi="Arial" w:eastAsia="Arial" w:cs="Arial"/>
              <w:lang w:val="sr-Cyrl-RS"/>
            </w:rPr>
            <w:t>3. ПЛАНСКИ И ИНСТИТУЦИОНАЛНИ ОСНОВ ЗА ИЗРАДУ ПРОГРАМА РАЗВОЈА ТУРИЗМА ОПШТИНЕ ГАЏИН ХАН</w:t>
          </w:r>
          <w:r>
            <w:tab/>
          </w:r>
          <w:r>
            <w:fldChar w:fldCharType="begin"/>
          </w:r>
          <w:r>
            <w:instrText xml:space="preserve"> PAGEREF _Toc159226509 \h </w:instrText>
          </w:r>
          <w:r>
            <w:fldChar w:fldCharType="separate"/>
          </w:r>
          <w:r>
            <w:t>6</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"_Toc159226510" </w:instrText>
          </w:r>
          <w:r>
            <w:fldChar w:fldCharType="separate"/>
          </w:r>
          <w:r>
            <w:rPr>
              <w:rStyle w:val="17"/>
              <w:rFonts w:eastAsia="Arial"/>
            </w:rPr>
            <w:t>3.2. Анализа стратешких и просторно-планских докумената</w:t>
          </w:r>
          <w:r>
            <w:tab/>
          </w:r>
          <w:r>
            <w:fldChar w:fldCharType="begin"/>
          </w:r>
          <w:r>
            <w:instrText xml:space="preserve"> PAGEREF _Toc159226510 \h </w:instrText>
          </w:r>
          <w:r>
            <w:fldChar w:fldCharType="separate"/>
          </w:r>
          <w:r>
            <w:t>7</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"_Toc159226511" </w:instrText>
          </w:r>
          <w:r>
            <w:fldChar w:fldCharType="separate"/>
          </w:r>
          <w:r>
            <w:rPr>
              <w:rStyle w:val="17"/>
              <w:rFonts w:ascii="Arial" w:hAnsi="Arial" w:eastAsia="Arial" w:cs="Arial"/>
              <w:lang w:val="sr-Cyrl-RS"/>
            </w:rPr>
            <w:t>4. OПШТЕ ИНФОРМАЦИЈЕ О ЈЕДНИНИЦИ ЛОКАЛНЕ САМОУПРАВЕ</w:t>
          </w:r>
          <w:r>
            <w:tab/>
          </w:r>
          <w:r>
            <w:fldChar w:fldCharType="begin"/>
          </w:r>
          <w:r>
            <w:instrText xml:space="preserve"> PAGEREF _Toc159226511 \h </w:instrText>
          </w:r>
          <w:r>
            <w:fldChar w:fldCharType="separate"/>
          </w:r>
          <w:r>
            <w:t>9</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"_Toc159226512" </w:instrText>
          </w:r>
          <w:r>
            <w:fldChar w:fldCharType="separate"/>
          </w:r>
          <w:r>
            <w:rPr>
              <w:rStyle w:val="17"/>
              <w:rFonts w:eastAsia="Arial"/>
            </w:rPr>
            <w:t>4.1. Географске, демографске и климатске карактеристике</w:t>
          </w:r>
          <w:r>
            <w:tab/>
          </w:r>
          <w:r>
            <w:fldChar w:fldCharType="begin"/>
          </w:r>
          <w:r>
            <w:instrText xml:space="preserve"> PAGEREF _Toc159226512 \h </w:instrText>
          </w:r>
          <w:r>
            <w:fldChar w:fldCharType="separate"/>
          </w:r>
          <w:r>
            <w:t>9</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"_Toc159226513" </w:instrText>
          </w:r>
          <w:r>
            <w:fldChar w:fldCharType="separate"/>
          </w:r>
          <w:r>
            <w:rPr>
              <w:rStyle w:val="17"/>
              <w:rFonts w:ascii="Arial" w:hAnsi="Arial" w:cs="Arial"/>
              <w:iCs/>
              <w:lang w:val="sr-Cyrl-RS"/>
            </w:rPr>
            <w:t>Географске карактеристике</w:t>
          </w:r>
          <w:r>
            <w:tab/>
          </w:r>
          <w:r>
            <w:fldChar w:fldCharType="begin"/>
          </w:r>
          <w:r>
            <w:instrText xml:space="preserve"> PAGEREF _Toc159226513 \h </w:instrText>
          </w:r>
          <w:r>
            <w:fldChar w:fldCharType="separate"/>
          </w:r>
          <w:r>
            <w:t>9</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"_Toc159226514" </w:instrText>
          </w:r>
          <w:r>
            <w:fldChar w:fldCharType="separate"/>
          </w:r>
          <w:r>
            <w:rPr>
              <w:rStyle w:val="17"/>
              <w:rFonts w:ascii="Arial" w:hAnsi="Arial" w:cs="Arial"/>
              <w:lang w:val="sr-Cyrl-RS"/>
            </w:rPr>
            <w:t>Природни ресурси</w:t>
          </w:r>
          <w:r>
            <w:tab/>
          </w:r>
          <w:r>
            <w:fldChar w:fldCharType="begin"/>
          </w:r>
          <w:r>
            <w:instrText xml:space="preserve"> PAGEREF _Toc159226514 \h </w:instrText>
          </w:r>
          <w:r>
            <w:fldChar w:fldCharType="separate"/>
          </w:r>
          <w:r>
            <w:t>11</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"_Toc159226515" </w:instrText>
          </w:r>
          <w:r>
            <w:fldChar w:fldCharType="separate"/>
          </w:r>
          <w:r>
            <w:rPr>
              <w:rStyle w:val="17"/>
              <w:rFonts w:ascii="Arial" w:hAnsi="Arial" w:eastAsia="Arial" w:cs="Arial"/>
              <w:lang w:val="sr-Cyrl-RS"/>
            </w:rPr>
            <w:t>Флора и фауна</w:t>
          </w:r>
          <w:r>
            <w:tab/>
          </w:r>
          <w:r>
            <w:fldChar w:fldCharType="begin"/>
          </w:r>
          <w:r>
            <w:instrText xml:space="preserve"> PAGEREF _Toc159226515 \h </w:instrText>
          </w:r>
          <w:r>
            <w:fldChar w:fldCharType="separate"/>
          </w:r>
          <w:r>
            <w:t>13</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"_Toc159226516" </w:instrText>
          </w:r>
          <w:r>
            <w:fldChar w:fldCharType="separate"/>
          </w:r>
          <w:r>
            <w:rPr>
              <w:rStyle w:val="17"/>
              <w:rFonts w:ascii="Arial" w:hAnsi="Arial" w:eastAsia="Arial" w:cs="Arial"/>
              <w:lang w:val="sr-Cyrl-RS"/>
            </w:rPr>
            <w:t>Демографске карактеристике</w:t>
          </w:r>
          <w:r>
            <w:tab/>
          </w:r>
          <w:r>
            <w:fldChar w:fldCharType="begin"/>
          </w:r>
          <w:r>
            <w:instrText xml:space="preserve"> PAGEREF _Toc159226516 \h </w:instrText>
          </w:r>
          <w:r>
            <w:fldChar w:fldCharType="separate"/>
          </w:r>
          <w:r>
            <w:t>16</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"_Toc159226517" </w:instrText>
          </w:r>
          <w:r>
            <w:fldChar w:fldCharType="separate"/>
          </w:r>
          <w:r>
            <w:rPr>
              <w:rStyle w:val="17"/>
              <w:rFonts w:ascii="Arial" w:hAnsi="Arial" w:eastAsia="Arial" w:cs="Arial"/>
              <w:lang w:val="sr-Cyrl-RS"/>
            </w:rPr>
            <w:t>Климатске карактеристике</w:t>
          </w:r>
          <w:r>
            <w:tab/>
          </w:r>
          <w:r>
            <w:fldChar w:fldCharType="begin"/>
          </w:r>
          <w:r>
            <w:instrText xml:space="preserve"> PAGEREF _Toc159226517 \h </w:instrText>
          </w:r>
          <w:r>
            <w:fldChar w:fldCharType="separate"/>
          </w:r>
          <w:r>
            <w:t>21</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"_Toc159226518" </w:instrText>
          </w:r>
          <w:r>
            <w:fldChar w:fldCharType="separate"/>
          </w:r>
          <w:r>
            <w:rPr>
              <w:rStyle w:val="17"/>
              <w:rFonts w:eastAsia="Arial"/>
            </w:rPr>
            <w:t>4.2. Културно-историјско наслеђе</w:t>
          </w:r>
          <w:r>
            <w:tab/>
          </w:r>
          <w:r>
            <w:fldChar w:fldCharType="begin"/>
          </w:r>
          <w:r>
            <w:instrText xml:space="preserve"> PAGEREF _Toc159226518 \h </w:instrText>
          </w:r>
          <w:r>
            <w:fldChar w:fldCharType="separate"/>
          </w:r>
          <w:r>
            <w:t>23</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"_Toc159226519" </w:instrText>
          </w:r>
          <w:r>
            <w:fldChar w:fldCharType="separate"/>
          </w:r>
          <w:r>
            <w:rPr>
              <w:rStyle w:val="17"/>
              <w:rFonts w:ascii="Arial" w:hAnsi="Arial" w:eastAsia="Arial" w:cs="Arial"/>
              <w:lang w:val="sr-Cyrl-RS"/>
            </w:rPr>
            <w:t>Црква Вазнесења - Велики Крчимир</w:t>
          </w:r>
          <w:r>
            <w:tab/>
          </w:r>
          <w:r>
            <w:fldChar w:fldCharType="begin"/>
          </w:r>
          <w:r>
            <w:instrText xml:space="preserve"> PAGEREF _Toc159226519 \h </w:instrText>
          </w:r>
          <w:r>
            <w:fldChar w:fldCharType="separate"/>
          </w:r>
          <w:r>
            <w:t>25</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"_Toc159226520" </w:instrText>
          </w:r>
          <w:r>
            <w:fldChar w:fldCharType="separate"/>
          </w:r>
          <w:r>
            <w:rPr>
              <w:rStyle w:val="17"/>
              <w:rFonts w:ascii="Arial" w:hAnsi="Arial" w:eastAsia="Arial" w:cs="Arial"/>
              <w:lang w:val="sr-Cyrl-RS"/>
            </w:rPr>
            <w:t>Народна библиотека „Бранко Миљковић“, Гаџин Хан</w:t>
          </w:r>
          <w:r>
            <w:tab/>
          </w:r>
          <w:r>
            <w:fldChar w:fldCharType="begin"/>
          </w:r>
          <w:r>
            <w:instrText xml:space="preserve"> PAGEREF _Toc159226520 \h </w:instrText>
          </w:r>
          <w:r>
            <w:fldChar w:fldCharType="separate"/>
          </w:r>
          <w:r>
            <w:t>25</w:t>
          </w:r>
          <w:r>
            <w:fldChar w:fldCharType="end"/>
          </w:r>
          <w:r>
            <w:fldChar w:fldCharType="end"/>
          </w:r>
        </w:p>
        <w:p>
          <w:pPr>
            <w:pStyle w:val="33"/>
            <w:tabs>
              <w:tab w:val="right" w:leader="dot" w:pos="9030"/>
            </w:tabs>
            <w:rPr>
              <w:rFonts w:eastAsiaTheme="minorEastAsia" w:cstheme="minorBidi"/>
              <w:sz w:val="22"/>
              <w:szCs w:val="22"/>
              <w:lang w:eastAsia="en-US"/>
            </w:rPr>
          </w:pPr>
          <w:r>
            <w:fldChar w:fldCharType="begin"/>
          </w:r>
          <w:r>
            <w:instrText xml:space="preserve"> HYPERLINK \l "_Toc159226521" </w:instrText>
          </w:r>
          <w:r>
            <w:fldChar w:fldCharType="separate"/>
          </w:r>
          <w:r>
            <w:rPr>
              <w:rStyle w:val="17"/>
              <w:rFonts w:ascii="Arial" w:hAnsi="Arial" w:eastAsia="Arial" w:cs="Arial"/>
              <w:lang w:val="sr-Cyrl-RS"/>
            </w:rPr>
            <w:t>Заплањске воденице поточаре</w:t>
          </w:r>
          <w:r>
            <w:tab/>
          </w:r>
          <w:r>
            <w:fldChar w:fldCharType="begin"/>
          </w:r>
          <w:r>
            <w:instrText xml:space="preserve"> PAGEREF _Toc159226521 \h </w:instrText>
          </w:r>
          <w:r>
            <w:fldChar w:fldCharType="separate"/>
          </w:r>
          <w:r>
            <w:t>26</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"_Toc159226522" </w:instrText>
          </w:r>
          <w:r>
            <w:fldChar w:fldCharType="separate"/>
          </w:r>
          <w:r>
            <w:rPr>
              <w:rStyle w:val="17"/>
              <w:rFonts w:eastAsia="Arial"/>
            </w:rPr>
            <w:t>4.3. Саобраћајна и комунална инфраструктура</w:t>
          </w:r>
          <w:r>
            <w:tab/>
          </w:r>
          <w:r>
            <w:fldChar w:fldCharType="begin"/>
          </w:r>
          <w:r>
            <w:instrText xml:space="preserve"> PAGEREF _Toc159226522 \h </w:instrText>
          </w:r>
          <w:r>
            <w:fldChar w:fldCharType="separate"/>
          </w:r>
          <w:r>
            <w:t>27</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"_Toc159226523" </w:instrText>
          </w:r>
          <w:r>
            <w:fldChar w:fldCharType="separate"/>
          </w:r>
          <w:r>
            <w:rPr>
              <w:rStyle w:val="17"/>
              <w:rFonts w:eastAsia="Arial"/>
            </w:rPr>
            <w:t>4.4. Степен привредног развоја општине Гаџин Хан</w:t>
          </w:r>
          <w:r>
            <w:tab/>
          </w:r>
          <w:r>
            <w:fldChar w:fldCharType="begin"/>
          </w:r>
          <w:r>
            <w:instrText xml:space="preserve"> PAGEREF _Toc159226523 \h </w:instrText>
          </w:r>
          <w:r>
            <w:fldChar w:fldCharType="separate"/>
          </w:r>
          <w:r>
            <w:t>31</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"_Toc159226524" </w:instrText>
          </w:r>
          <w:r>
            <w:fldChar w:fldCharType="separate"/>
          </w:r>
          <w:r>
            <w:rPr>
              <w:rStyle w:val="17"/>
              <w:rFonts w:ascii="Arial" w:hAnsi="Arial" w:cs="Arial"/>
              <w:lang w:val="sr-Cyrl-RS"/>
            </w:rPr>
            <w:t>5 . АНАЛИЗА ПОСТОЈЕЋЕГ СТАЊА РАЗВОЈА ТУРИЗМА ГАЏИНОГ ХАНА</w:t>
          </w:r>
          <w:r>
            <w:tab/>
          </w:r>
          <w:r>
            <w:fldChar w:fldCharType="begin"/>
          </w:r>
          <w:r>
            <w:instrText xml:space="preserve"> PAGEREF _Toc159226524 \h </w:instrText>
          </w:r>
          <w:r>
            <w:fldChar w:fldCharType="separate"/>
          </w:r>
          <w:r>
            <w:t>33</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"_Toc159226525" </w:instrText>
          </w:r>
          <w:r>
            <w:fldChar w:fldCharType="separate"/>
          </w:r>
          <w:r>
            <w:rPr>
              <w:rStyle w:val="17"/>
            </w:rPr>
            <w:t>5.1.  Кључни показатељи туристичког промета у последњих пет година на територији јединице локалне самоуправе Гаџин Хан</w:t>
          </w:r>
          <w:r>
            <w:tab/>
          </w:r>
          <w:r>
            <w:fldChar w:fldCharType="begin"/>
          </w:r>
          <w:r>
            <w:instrText xml:space="preserve"> PAGEREF _Toc159226525 \h </w:instrText>
          </w:r>
          <w:r>
            <w:fldChar w:fldCharType="separate"/>
          </w:r>
          <w:r>
            <w:t>33</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"_Toc159226526" </w:instrText>
          </w:r>
          <w:r>
            <w:fldChar w:fldCharType="separate"/>
          </w:r>
          <w:r>
            <w:rPr>
              <w:rStyle w:val="17"/>
              <w:rFonts w:eastAsia="Arial"/>
            </w:rPr>
            <w:t>5.2. Организација туристичког сектора на нивоу туризма локалне самоуправе</w:t>
          </w:r>
          <w:r>
            <w:tab/>
          </w:r>
          <w:r>
            <w:fldChar w:fldCharType="begin"/>
          </w:r>
          <w:r>
            <w:instrText xml:space="preserve"> PAGEREF _Toc159226526 \h </w:instrText>
          </w:r>
          <w:r>
            <w:fldChar w:fldCharType="separate"/>
          </w:r>
          <w:r>
            <w:t>34</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"_Toc159226527" </w:instrText>
          </w:r>
          <w:r>
            <w:fldChar w:fldCharType="separate"/>
          </w:r>
          <w:r>
            <w:rPr>
              <w:rStyle w:val="17"/>
            </w:rPr>
            <w:t>5.3. Анализа туристичких производа и активности унапређења општине Гаџин Хан</w:t>
          </w:r>
          <w:r>
            <w:tab/>
          </w:r>
          <w:r>
            <w:fldChar w:fldCharType="begin"/>
          </w:r>
          <w:r>
            <w:instrText xml:space="preserve"> PAGEREF _Toc159226527 \h </w:instrText>
          </w:r>
          <w:r>
            <w:fldChar w:fldCharType="separate"/>
          </w:r>
          <w:r>
            <w:t>36</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"_Toc159226528" </w:instrText>
          </w:r>
          <w:r>
            <w:fldChar w:fldCharType="separate"/>
          </w:r>
          <w:r>
            <w:rPr>
              <w:rStyle w:val="17"/>
            </w:rPr>
            <w:t xml:space="preserve">5.4. </w:t>
          </w:r>
          <w:r>
            <w:rPr>
              <w:rStyle w:val="17"/>
              <w:rFonts w:eastAsia="Calibri"/>
            </w:rPr>
            <w:t xml:space="preserve"> Анализа понуде туристичких и угоститељских капацитета</w:t>
          </w:r>
          <w:r>
            <w:tab/>
          </w:r>
          <w:r>
            <w:fldChar w:fldCharType="begin"/>
          </w:r>
          <w:r>
            <w:instrText xml:space="preserve"> PAGEREF _Toc159226528 \h </w:instrText>
          </w:r>
          <w:r>
            <w:fldChar w:fldCharType="separate"/>
          </w:r>
          <w:r>
            <w:t>42</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"_Toc159226529" </w:instrText>
          </w:r>
          <w:r>
            <w:fldChar w:fldCharType="separate"/>
          </w:r>
          <w:r>
            <w:rPr>
              <w:rStyle w:val="17"/>
            </w:rPr>
            <w:t>5.5. Анализа људских ресурса у области туризма и угоститељства јединице локалне самоуправе</w:t>
          </w:r>
          <w:r>
            <w:tab/>
          </w:r>
          <w:r>
            <w:fldChar w:fldCharType="begin"/>
          </w:r>
          <w:r>
            <w:instrText xml:space="preserve"> PAGEREF _Toc159226529 \h </w:instrText>
          </w:r>
          <w:r>
            <w:fldChar w:fldCharType="separate"/>
          </w:r>
          <w:r>
            <w:t>45</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"_Toc159226530" </w:instrText>
          </w:r>
          <w:r>
            <w:fldChar w:fldCharType="separate"/>
          </w:r>
          <w:r>
            <w:rPr>
              <w:rStyle w:val="17"/>
            </w:rPr>
            <w:t>5.6. Активности на развоју туристичких производа</w:t>
          </w:r>
          <w:r>
            <w:tab/>
          </w:r>
          <w:r>
            <w:fldChar w:fldCharType="begin"/>
          </w:r>
          <w:r>
            <w:instrText xml:space="preserve"> PAGEREF _Toc159226530 \h </w:instrText>
          </w:r>
          <w:r>
            <w:fldChar w:fldCharType="separate"/>
          </w:r>
          <w:r>
            <w:t>58</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"_Toc159226531" </w:instrText>
          </w:r>
          <w:r>
            <w:fldChar w:fldCharType="separate"/>
          </w:r>
          <w:r>
            <w:rPr>
              <w:rStyle w:val="17"/>
              <w:rFonts w:ascii="Arial" w:hAnsi="Arial" w:cs="Arial"/>
              <w:lang w:val="sr-Cyrl-RS"/>
            </w:rPr>
            <w:t>6 . SWОТ АНАЛИЗА</w:t>
          </w:r>
          <w:r>
            <w:tab/>
          </w:r>
          <w:r>
            <w:fldChar w:fldCharType="begin"/>
          </w:r>
          <w:r>
            <w:instrText xml:space="preserve"> PAGEREF _Toc159226531 \h </w:instrText>
          </w:r>
          <w:r>
            <w:fldChar w:fldCharType="separate"/>
          </w:r>
          <w:r>
            <w:t>60</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"_Toc159226532" </w:instrText>
          </w:r>
          <w:r>
            <w:fldChar w:fldCharType="separate"/>
          </w:r>
          <w:r>
            <w:rPr>
              <w:rStyle w:val="17"/>
              <w:rFonts w:ascii="Arial" w:hAnsi="Arial" w:eastAsia="Arial" w:cs="Arial"/>
              <w:lang w:val="sr-Cyrl-RS"/>
            </w:rPr>
            <w:t>7. ДЕФИНИСАЊЕ КЉУЧНИХ ТУРИСТИЧКИХ ПРОИЗВОДА ОПШТИНЕ ГАЏИН ХАН</w:t>
          </w:r>
          <w:r>
            <w:tab/>
          </w:r>
          <w:r>
            <w:fldChar w:fldCharType="begin"/>
          </w:r>
          <w:r>
            <w:instrText xml:space="preserve"> PAGEREF _Toc159226532 \h </w:instrText>
          </w:r>
          <w:r>
            <w:fldChar w:fldCharType="separate"/>
          </w:r>
          <w:r>
            <w:t>65</w:t>
          </w:r>
          <w:r>
            <w:fldChar w:fldCharType="end"/>
          </w:r>
          <w:r>
            <w:fldChar w:fldCharType="end"/>
          </w:r>
        </w:p>
        <w:p>
          <w:pPr>
            <w:pStyle w:val="31"/>
            <w:tabs>
              <w:tab w:val="left" w:pos="480"/>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"_Toc159226533" </w:instrText>
          </w:r>
          <w:r>
            <w:fldChar w:fldCharType="separate"/>
          </w:r>
          <w:r>
            <w:rPr>
              <w:rStyle w:val="17"/>
              <w:rFonts w:ascii="Arial" w:hAnsi="Arial" w:cs="Arial"/>
              <w:lang w:val="sr-Cyrl-RS"/>
            </w:rPr>
            <w:t>8.</w:t>
          </w:r>
          <w:r>
            <w:rPr>
              <w:rFonts w:asciiTheme="minorHAnsi" w:hAnsiTheme="minorHAnsi" w:eastAsiaTheme="minorEastAsia" w:cstheme="minorBidi"/>
              <w:b w:val="0"/>
              <w:bCs w:val="0"/>
              <w:caps w:val="0"/>
              <w:sz w:val="22"/>
              <w:szCs w:val="22"/>
              <w:lang w:eastAsia="en-US"/>
            </w:rPr>
            <w:tab/>
          </w:r>
          <w:r>
            <w:rPr>
              <w:rStyle w:val="17"/>
              <w:rFonts w:ascii="Arial" w:hAnsi="Arial" w:cs="Arial"/>
              <w:lang w:val="sr-Cyrl-RS"/>
            </w:rPr>
            <w:t xml:space="preserve"> АНАЛИЗА КЉУЧНИХ ТУРИСТИЧКИХ ТРЖИШТА ОД ЗНАЧАЈА ЗА РАЗВОЈ ТУРИЗМА И МАРКЕТИНГ АКТИВНОСТИ ОПШТИНЕ ГАЏИН ХАН</w:t>
          </w:r>
          <w:r>
            <w:tab/>
          </w:r>
          <w:r>
            <w:fldChar w:fldCharType="begin"/>
          </w:r>
          <w:r>
            <w:instrText xml:space="preserve"> PAGEREF _Toc159226533 \h </w:instrText>
          </w:r>
          <w:r>
            <w:fldChar w:fldCharType="separate"/>
          </w:r>
          <w:r>
            <w:t>67</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"_Toc159226534" </w:instrText>
          </w:r>
          <w:r>
            <w:fldChar w:fldCharType="separate"/>
          </w:r>
          <w:r>
            <w:rPr>
              <w:rStyle w:val="17"/>
            </w:rPr>
            <w:t>8.1. Закључак анализе тржишта општине Гаџин Хан</w:t>
          </w:r>
          <w:r>
            <w:tab/>
          </w:r>
          <w:r>
            <w:fldChar w:fldCharType="begin"/>
          </w:r>
          <w:r>
            <w:instrText xml:space="preserve"> PAGEREF _Toc159226534 \h </w:instrText>
          </w:r>
          <w:r>
            <w:fldChar w:fldCharType="separate"/>
          </w:r>
          <w:r>
            <w:t>68</w:t>
          </w:r>
          <w:r>
            <w:fldChar w:fldCharType="end"/>
          </w:r>
          <w:r>
            <w:fldChar w:fldCharType="end"/>
          </w:r>
        </w:p>
        <w:p>
          <w:pPr>
            <w:pStyle w:val="31"/>
            <w:tabs>
              <w:tab w:val="left" w:pos="480"/>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"_Toc159226535" </w:instrText>
          </w:r>
          <w:r>
            <w:fldChar w:fldCharType="separate"/>
          </w:r>
          <w:r>
            <w:rPr>
              <w:rStyle w:val="17"/>
              <w:rFonts w:ascii="Arial" w:hAnsi="Arial" w:cs="Arial"/>
              <w:lang w:val="sr-Cyrl-RS"/>
            </w:rPr>
            <w:t>9.</w:t>
          </w:r>
          <w:r>
            <w:rPr>
              <w:rFonts w:asciiTheme="minorHAnsi" w:hAnsiTheme="minorHAnsi" w:eastAsiaTheme="minorEastAsia" w:cstheme="minorBidi"/>
              <w:b w:val="0"/>
              <w:bCs w:val="0"/>
              <w:caps w:val="0"/>
              <w:sz w:val="22"/>
              <w:szCs w:val="22"/>
              <w:lang w:eastAsia="en-US"/>
            </w:rPr>
            <w:tab/>
          </w:r>
          <w:r>
            <w:rPr>
              <w:rStyle w:val="17"/>
              <w:rFonts w:ascii="Arial" w:hAnsi="Arial" w:cs="Arial"/>
              <w:lang w:val="sr-Cyrl-RS"/>
            </w:rPr>
            <w:t>РАЗВОЈНИ МОДЕЛ, ЦИЉЕВИ И ПРОЈЕКЦИЈЕ ОДРЖИВОГ РАЗВОЈА ТУРИЗМА ГАЏИНОГ ХАНА</w:t>
          </w:r>
          <w:r>
            <w:tab/>
          </w:r>
          <w:r>
            <w:fldChar w:fldCharType="begin"/>
          </w:r>
          <w:r>
            <w:instrText xml:space="preserve"> PAGEREF _Toc159226535 \h </w:instrText>
          </w:r>
          <w:r>
            <w:fldChar w:fldCharType="separate"/>
          </w:r>
          <w:r>
            <w:t>69</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"_Toc159226536" </w:instrText>
          </w:r>
          <w:r>
            <w:fldChar w:fldCharType="separate"/>
          </w:r>
          <w:r>
            <w:rPr>
              <w:rStyle w:val="17"/>
            </w:rPr>
            <w:t>9.1 Стратешка упоришта развоја туризма Гаџиног Хана</w:t>
          </w:r>
          <w:r>
            <w:tab/>
          </w:r>
          <w:r>
            <w:fldChar w:fldCharType="begin"/>
          </w:r>
          <w:r>
            <w:instrText xml:space="preserve"> PAGEREF _Toc159226536 \h </w:instrText>
          </w:r>
          <w:r>
            <w:fldChar w:fldCharType="separate"/>
          </w:r>
          <w:r>
            <w:t>70</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"_Toc159226537" </w:instrText>
          </w:r>
          <w:r>
            <w:fldChar w:fldCharType="separate"/>
          </w:r>
          <w:r>
            <w:rPr>
              <w:rStyle w:val="17"/>
            </w:rPr>
            <w:t>9.1.1 Визија</w:t>
          </w:r>
          <w:r>
            <w:tab/>
          </w:r>
          <w:r>
            <w:fldChar w:fldCharType="begin"/>
          </w:r>
          <w:r>
            <w:instrText xml:space="preserve"> PAGEREF _Toc159226537 \h </w:instrText>
          </w:r>
          <w:r>
            <w:fldChar w:fldCharType="separate"/>
          </w:r>
          <w:r>
            <w:t>71</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"_Toc159226538" </w:instrText>
          </w:r>
          <w:r>
            <w:fldChar w:fldCharType="separate"/>
          </w:r>
          <w:r>
            <w:rPr>
              <w:rStyle w:val="17"/>
            </w:rPr>
            <w:t>9.1.2 Мисија програма развоја туризма</w:t>
          </w:r>
          <w:r>
            <w:tab/>
          </w:r>
          <w:r>
            <w:fldChar w:fldCharType="begin"/>
          </w:r>
          <w:r>
            <w:instrText xml:space="preserve"> PAGEREF _Toc159226538 \h </w:instrText>
          </w:r>
          <w:r>
            <w:fldChar w:fldCharType="separate"/>
          </w:r>
          <w:r>
            <w:t>72</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"_Toc159226539" </w:instrText>
          </w:r>
          <w:r>
            <w:fldChar w:fldCharType="separate"/>
          </w:r>
          <w:r>
            <w:rPr>
              <w:rStyle w:val="17"/>
            </w:rPr>
            <w:t>9.1.3 Стратешки циљеви</w:t>
          </w:r>
          <w:r>
            <w:tab/>
          </w:r>
          <w:r>
            <w:fldChar w:fldCharType="begin"/>
          </w:r>
          <w:r>
            <w:instrText xml:space="preserve"> PAGEREF _Toc159226539 \h </w:instrText>
          </w:r>
          <w:r>
            <w:fldChar w:fldCharType="separate"/>
          </w:r>
          <w:r>
            <w:t>72</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"_Toc159226540" </w:instrText>
          </w:r>
          <w:r>
            <w:fldChar w:fldCharType="separate"/>
          </w:r>
          <w:r>
            <w:rPr>
              <w:rStyle w:val="17"/>
            </w:rPr>
            <w:t>9.2 Пројекције одрживог раста туризма oпштине Гаџин Хан</w:t>
          </w:r>
          <w:r>
            <w:tab/>
          </w:r>
          <w:r>
            <w:fldChar w:fldCharType="begin"/>
          </w:r>
          <w:r>
            <w:instrText xml:space="preserve"> PAGEREF _Toc159226540 \h </w:instrText>
          </w:r>
          <w:r>
            <w:fldChar w:fldCharType="separate"/>
          </w:r>
          <w:r>
            <w:t>74</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"_Toc159226541" </w:instrText>
          </w:r>
          <w:r>
            <w:fldChar w:fldCharType="separate"/>
          </w:r>
          <w:r>
            <w:rPr>
              <w:rStyle w:val="17"/>
              <w:rFonts w:ascii="Arial" w:hAnsi="Arial" w:eastAsia="Arial" w:cs="Arial"/>
              <w:lang w:val="sr-Cyrl-RS"/>
            </w:rPr>
            <w:t>10. АНАЛИЗА И ПЛАН КОНКУРЕНТНОСТИ СА ПРЕДЛОГОМ КЉУЧНИХ ИНВЕСТИЦИОНИХ ПРОЈЕКАТА</w:t>
          </w:r>
          <w:r>
            <w:tab/>
          </w:r>
          <w:r>
            <w:fldChar w:fldCharType="begin"/>
          </w:r>
          <w:r>
            <w:instrText xml:space="preserve"> PAGEREF _Toc159226541 \h </w:instrText>
          </w:r>
          <w:r>
            <w:fldChar w:fldCharType="separate"/>
          </w:r>
          <w:r>
            <w:t>76</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"_Toc159226542" </w:instrText>
          </w:r>
          <w:r>
            <w:fldChar w:fldCharType="separate"/>
          </w:r>
          <w:r>
            <w:rPr>
              <w:rStyle w:val="17"/>
              <w:rFonts w:ascii="Arial" w:hAnsi="Arial" w:cs="Arial"/>
              <w:lang w:val="sr-Cyrl-RS"/>
            </w:rPr>
            <w:t>11. МОДЕЛ УПРАВЉАЊА ТУРИСТИЧКОМ ДЕСТИНАЦИЈОМ</w:t>
          </w:r>
          <w:r>
            <w:tab/>
          </w:r>
          <w:r>
            <w:fldChar w:fldCharType="begin"/>
          </w:r>
          <w:r>
            <w:instrText xml:space="preserve"> PAGEREF _Toc159226542 \h </w:instrText>
          </w:r>
          <w:r>
            <w:fldChar w:fldCharType="separate"/>
          </w:r>
          <w:r>
            <w:t>78</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"_Toc159226543" </w:instrText>
          </w:r>
          <w:r>
            <w:fldChar w:fldCharType="separate"/>
          </w:r>
          <w:r>
            <w:rPr>
              <w:rStyle w:val="17"/>
              <w:rFonts w:ascii="Arial" w:hAnsi="Arial" w:cs="Arial"/>
              <w:lang w:val="sr-Cyrl-RS"/>
            </w:rPr>
            <w:t>12 . АКЦИОНИ ПЛАН</w:t>
          </w:r>
          <w:r>
            <w:tab/>
          </w:r>
          <w:r>
            <w:fldChar w:fldCharType="begin"/>
          </w:r>
          <w:r>
            <w:instrText xml:space="preserve"> PAGEREF _Toc159226543 \h </w:instrText>
          </w:r>
          <w:r>
            <w:fldChar w:fldCharType="separate"/>
          </w:r>
          <w:r>
            <w:t>81</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"_Toc159226544" </w:instrText>
          </w:r>
          <w:r>
            <w:fldChar w:fldCharType="separate"/>
          </w:r>
          <w:r>
            <w:rPr>
              <w:rStyle w:val="17"/>
            </w:rPr>
            <w:t>12. 1. Преглед развојних пројеката и мера</w:t>
          </w:r>
          <w:r>
            <w:tab/>
          </w:r>
          <w:r>
            <w:fldChar w:fldCharType="begin"/>
          </w:r>
          <w:r>
            <w:instrText xml:space="preserve"> PAGEREF _Toc159226544 \h </w:instrText>
          </w:r>
          <w:r>
            <w:fldChar w:fldCharType="separate"/>
          </w:r>
          <w:r>
            <w:t>81</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"_Toc159226545" </w:instrText>
          </w:r>
          <w:r>
            <w:fldChar w:fldCharType="separate"/>
          </w:r>
          <w:r>
            <w:rPr>
              <w:rStyle w:val="17"/>
              <w:rFonts w:ascii="Arial" w:hAnsi="Arial" w:cs="Arial"/>
              <w:lang w:val="sr-Cyrl-RS"/>
            </w:rPr>
            <w:t>13 . АКТИВНОСТИ МАРКЕТИНГА И ПРОМОЦИЈЕ</w:t>
          </w:r>
          <w:r>
            <w:tab/>
          </w:r>
          <w:r>
            <w:fldChar w:fldCharType="begin"/>
          </w:r>
          <w:r>
            <w:instrText xml:space="preserve"> PAGEREF _Toc159226545 \h </w:instrText>
          </w:r>
          <w:r>
            <w:fldChar w:fldCharType="separate"/>
          </w:r>
          <w:r>
            <w:t>99</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"_Toc159226546" </w:instrText>
          </w:r>
          <w:r>
            <w:fldChar w:fldCharType="separate"/>
          </w:r>
          <w:r>
            <w:rPr>
              <w:rStyle w:val="17"/>
              <w:rFonts w:ascii="Arial" w:hAnsi="Arial" w:cs="Arial"/>
              <w:lang w:val="sr-Cyrl-RS"/>
            </w:rPr>
            <w:t>14. ЗАКЉУЧНА РАЗМАТРАЊА</w:t>
          </w:r>
          <w:r>
            <w:tab/>
          </w:r>
          <w:r>
            <w:fldChar w:fldCharType="begin"/>
          </w:r>
          <w:r>
            <w:instrText xml:space="preserve"> PAGEREF _Toc159226546 \h </w:instrText>
          </w:r>
          <w:r>
            <w:fldChar w:fldCharType="separate"/>
          </w:r>
          <w:r>
            <w:t>103</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"_Toc159226547" </w:instrText>
          </w:r>
          <w:r>
            <w:fldChar w:fldCharType="separate"/>
          </w:r>
          <w:r>
            <w:rPr>
              <w:rStyle w:val="17"/>
              <w:rFonts w:ascii="Arial" w:hAnsi="Arial" w:cs="Arial"/>
              <w:lang w:val="sr-Cyrl-RS"/>
            </w:rPr>
            <w:t>14. ЗАКЉУЧНА РАЗМАТРАЊА</w:t>
          </w:r>
          <w:r>
            <w:tab/>
          </w:r>
          <w:r>
            <w:fldChar w:fldCharType="begin"/>
          </w:r>
          <w:r>
            <w:instrText xml:space="preserve"> PAGEREF _Toc159226547 \h </w:instrText>
          </w:r>
          <w:r>
            <w:fldChar w:fldCharType="separate"/>
          </w:r>
          <w:r>
            <w:t>104</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"_Toc159226548" </w:instrText>
          </w:r>
          <w:r>
            <w:fldChar w:fldCharType="separate"/>
          </w:r>
          <w:r>
            <w:rPr>
              <w:rStyle w:val="17"/>
              <w:rFonts w:ascii="Arial" w:hAnsi="Arial" w:cs="Arial"/>
              <w:lang w:val="sr-Cyrl-RS"/>
            </w:rPr>
            <w:t>15. ПОПИС ТАБЕЛА, ГРАФИКОНА, СЛИКА И СКРАЋЕНИЦА</w:t>
          </w:r>
          <w:r>
            <w:tab/>
          </w:r>
          <w:r>
            <w:fldChar w:fldCharType="begin"/>
          </w:r>
          <w:r>
            <w:instrText xml:space="preserve"> PAGEREF _Toc159226548 \h </w:instrText>
          </w:r>
          <w:r>
            <w:fldChar w:fldCharType="separate"/>
          </w:r>
          <w:r>
            <w:t>105</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"_Toc159226549" </w:instrText>
          </w:r>
          <w:r>
            <w:fldChar w:fldCharType="separate"/>
          </w:r>
          <w:r>
            <w:rPr>
              <w:rStyle w:val="17"/>
            </w:rPr>
            <w:t>Табеле</w:t>
          </w:r>
          <w:r>
            <w:tab/>
          </w:r>
          <w:r>
            <w:fldChar w:fldCharType="begin"/>
          </w:r>
          <w:r>
            <w:instrText xml:space="preserve"> PAGEREF _Toc159226549 \h </w:instrText>
          </w:r>
          <w:r>
            <w:fldChar w:fldCharType="separate"/>
          </w:r>
          <w:r>
            <w:t>105</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"_Toc159226550" </w:instrText>
          </w:r>
          <w:r>
            <w:fldChar w:fldCharType="separate"/>
          </w:r>
          <w:r>
            <w:rPr>
              <w:rStyle w:val="17"/>
            </w:rPr>
            <w:t>Слике</w:t>
          </w:r>
          <w:r>
            <w:tab/>
          </w:r>
          <w:r>
            <w:fldChar w:fldCharType="begin"/>
          </w:r>
          <w:r>
            <w:instrText xml:space="preserve"> PAGEREF _Toc159226550 \h </w:instrText>
          </w:r>
          <w:r>
            <w:fldChar w:fldCharType="separate"/>
          </w:r>
          <w:r>
            <w:t>105</w:t>
          </w:r>
          <w:r>
            <w:fldChar w:fldCharType="end"/>
          </w:r>
          <w:r>
            <w:fldChar w:fldCharType="end"/>
          </w:r>
        </w:p>
        <w:p>
          <w:pPr>
            <w:pStyle w:val="32"/>
            <w:tabs>
              <w:tab w:val="right" w:leader="dot" w:pos="9030"/>
            </w:tabs>
            <w:rPr>
              <w:rFonts w:eastAsiaTheme="minorEastAsia" w:cstheme="minorBidi"/>
              <w:b w:val="0"/>
              <w:bCs w:val="0"/>
              <w:sz w:val="22"/>
              <w:szCs w:val="22"/>
              <w:lang w:eastAsia="en-US"/>
            </w:rPr>
          </w:pPr>
          <w:r>
            <w:fldChar w:fldCharType="begin"/>
          </w:r>
          <w:r>
            <w:instrText xml:space="preserve"> HYPERLINK \l "_Toc159226551" </w:instrText>
          </w:r>
          <w:r>
            <w:fldChar w:fldCharType="separate"/>
          </w:r>
          <w:r>
            <w:rPr>
              <w:rStyle w:val="17"/>
            </w:rPr>
            <w:t>Скараћенице</w:t>
          </w:r>
          <w:r>
            <w:tab/>
          </w:r>
          <w:r>
            <w:fldChar w:fldCharType="begin"/>
          </w:r>
          <w:r>
            <w:instrText xml:space="preserve"> PAGEREF _Toc159226551 \h </w:instrText>
          </w:r>
          <w:r>
            <w:fldChar w:fldCharType="separate"/>
          </w:r>
          <w:r>
            <w:t>105</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"_Toc159226552" </w:instrText>
          </w:r>
          <w:r>
            <w:fldChar w:fldCharType="separate"/>
          </w:r>
          <w:r>
            <w:rPr>
              <w:rStyle w:val="17"/>
              <w:rFonts w:ascii="Arial" w:hAnsi="Arial" w:cs="Arial"/>
              <w:lang w:val="sr-Cyrl-RS"/>
            </w:rPr>
            <w:t>16. ЛИТЕРАТУРА И ИЗВОРИ</w:t>
          </w:r>
          <w:r>
            <w:tab/>
          </w:r>
          <w:r>
            <w:fldChar w:fldCharType="begin"/>
          </w:r>
          <w:r>
            <w:instrText xml:space="preserve"> PAGEREF _Toc159226552 \h </w:instrText>
          </w:r>
          <w:r>
            <w:fldChar w:fldCharType="separate"/>
          </w:r>
          <w:r>
            <w:t>106</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"_Toc159226553" </w:instrText>
          </w:r>
          <w:r>
            <w:fldChar w:fldCharType="separate"/>
          </w:r>
          <w:r>
            <w:rPr>
              <w:rStyle w:val="17"/>
              <w:rFonts w:ascii="Arial" w:hAnsi="Arial" w:cs="Arial"/>
            </w:rPr>
            <w:t>17. ОБ</w:t>
          </w:r>
          <w:r>
            <w:rPr>
              <w:rStyle w:val="17"/>
              <w:rFonts w:ascii="Arial" w:hAnsi="Arial" w:cs="Arial"/>
              <w:lang w:val="sr-Cyrl-RS"/>
            </w:rPr>
            <w:t>ЈА</w:t>
          </w:r>
          <w:r>
            <w:rPr>
              <w:rStyle w:val="17"/>
              <w:rFonts w:ascii="Arial" w:hAnsi="Arial" w:cs="Arial"/>
            </w:rPr>
            <w:t>ВЉИВАЊЕ И СТУПАЊЕ НА СНАГУ</w:t>
          </w:r>
          <w:r>
            <w:tab/>
          </w:r>
          <w:r>
            <w:fldChar w:fldCharType="begin"/>
          </w:r>
          <w:r>
            <w:instrText xml:space="preserve"> PAGEREF _Toc159226553 \h </w:instrText>
          </w:r>
          <w:r>
            <w:fldChar w:fldCharType="separate"/>
          </w:r>
          <w:r>
            <w:t>107</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"_Toc159226554" </w:instrText>
          </w:r>
          <w:r>
            <w:fldChar w:fldCharType="separate"/>
          </w:r>
          <w:r>
            <w:rPr>
              <w:rStyle w:val="17"/>
              <w:rFonts w:ascii="Arial" w:hAnsi="Arial" w:cs="Arial"/>
              <w:lang w:val="sr-Cyrl-RS"/>
            </w:rPr>
            <w:t>АНЕКС I: Анализа Упитника за пружаоце услуга у туризму на простору општине</w:t>
          </w:r>
          <w:r>
            <w:tab/>
          </w:r>
          <w:r>
            <w:fldChar w:fldCharType="begin"/>
          </w:r>
          <w:r>
            <w:instrText xml:space="preserve"> PAGEREF _Toc159226554 \h </w:instrText>
          </w:r>
          <w:r>
            <w:fldChar w:fldCharType="separate"/>
          </w:r>
          <w:r>
            <w:t>108</w:t>
          </w:r>
          <w:r>
            <w:fldChar w:fldCharType="end"/>
          </w:r>
          <w:r>
            <w:fldChar w:fldCharType="end"/>
          </w:r>
        </w:p>
        <w:p>
          <w:pPr>
            <w:pStyle w:val="31"/>
            <w:tabs>
              <w:tab w:val="right" w:leader="dot" w:pos="9030"/>
            </w:tabs>
            <w:rPr>
              <w:rFonts w:asciiTheme="minorHAnsi" w:hAnsiTheme="minorHAnsi" w:eastAsiaTheme="minorEastAsia" w:cstheme="minorBidi"/>
              <w:b w:val="0"/>
              <w:bCs w:val="0"/>
              <w:caps w:val="0"/>
              <w:sz w:val="22"/>
              <w:szCs w:val="22"/>
              <w:lang w:eastAsia="en-US"/>
            </w:rPr>
          </w:pPr>
          <w:r>
            <w:fldChar w:fldCharType="begin"/>
          </w:r>
          <w:r>
            <w:instrText xml:space="preserve"> HYPERLINK \l "_Toc159226555" </w:instrText>
          </w:r>
          <w:r>
            <w:fldChar w:fldCharType="separate"/>
          </w:r>
          <w:r>
            <w:rPr>
              <w:rStyle w:val="17"/>
              <w:rFonts w:ascii="Arial" w:hAnsi="Arial" w:cs="Arial"/>
              <w:lang w:val="sr-Cyrl-RS"/>
            </w:rPr>
            <w:t>АНЕКС II: Анализа бренда – препознатљивости дестинације</w:t>
          </w:r>
          <w:r>
            <w:tab/>
          </w:r>
          <w:r>
            <w:fldChar w:fldCharType="begin"/>
          </w:r>
          <w:r>
            <w:instrText xml:space="preserve"> PAGEREF _Toc159226555 \h </w:instrText>
          </w:r>
          <w:r>
            <w:fldChar w:fldCharType="separate"/>
          </w:r>
          <w:r>
            <w:t>122</w:t>
          </w:r>
          <w:r>
            <w:fldChar w:fldCharType="end"/>
          </w:r>
          <w:r>
            <w:fldChar w:fldCharType="end"/>
          </w:r>
        </w:p>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fldChar w:fldCharType="end"/>
          </w:r>
        </w:p>
      </w:sdtContent>
    </w:sdt>
    <w:p>
      <w:pPr>
        <w:rPr>
          <w:rFonts w:ascii="Arial" w:hAnsi="Arial" w:cs="Arial"/>
          <w:lang w:val="sr-Cyrl-RS"/>
        </w:rPr>
      </w:pPr>
      <w:r>
        <w:rPr>
          <w:rFonts w:ascii="Arial" w:hAnsi="Arial" w:cs="Arial"/>
          <w:lang w:val="sr-Cyrl-RS"/>
        </w:rPr>
        <w:br w:type="page"/>
      </w:r>
    </w:p>
    <w:p>
      <w:pPr>
        <w:pStyle w:val="2"/>
        <w:rPr>
          <w:rFonts w:ascii="Arial" w:hAnsi="Arial" w:eastAsia="Arial" w:cs="Arial"/>
          <w:sz w:val="24"/>
          <w:szCs w:val="24"/>
          <w:lang w:val="sr-Cyrl-RS"/>
        </w:rPr>
      </w:pPr>
      <w:bookmarkStart w:id="1" w:name="_Toc143596755"/>
      <w:bookmarkStart w:id="2" w:name="_Toc143596909"/>
      <w:bookmarkStart w:id="3" w:name="_Toc144818229"/>
      <w:bookmarkStart w:id="4" w:name="_Toc159226507"/>
      <w:r>
        <w:rPr>
          <w:rFonts w:ascii="Arial" w:hAnsi="Arial" w:eastAsia="Arial" w:cs="Arial"/>
          <w:sz w:val="24"/>
          <w:szCs w:val="24"/>
          <w:lang w:val="sr-Cyrl-RS"/>
        </w:rPr>
        <w:t>1 . УВОД</w:t>
      </w:r>
      <w:bookmarkEnd w:id="1"/>
      <w:bookmarkEnd w:id="2"/>
      <w:bookmarkEnd w:id="3"/>
      <w:bookmarkEnd w:id="4"/>
    </w:p>
    <w:p>
      <w:pPr>
        <w:spacing w:line="290" w:lineRule="exact"/>
        <w:rPr>
          <w:rFonts w:ascii="Arial" w:hAnsi="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Израда Програма развоја туризма општине Гаџин Хан за период од 2023 до 2027. године допринеће развоју и унапређењу туристичке понуде на територији општине Гаџин Хан, нарочито у погледу изградње капацитета, инфраструктуре и садржаја, као и повећања конкурентности и видљивости дестинације.</w:t>
      </w:r>
    </w:p>
    <w:p>
      <w:pPr>
        <w:spacing w:line="335" w:lineRule="exact"/>
        <w:rPr>
          <w:rFonts w:ascii="Arial" w:hAnsi="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Програм садржи: увод, методологију рада, плански и институционални основ за израду програма, опште информације о општини Гаџин Хан, анализу постојећег развоја туризма, SWOT анализу, дефинисање кључних туристичких производа, анализу кључних туристичких тржишта, развојне моделе, анализу и план конкурентности, модел управљања туристичком дестинацијом, акциони план, закључна разматрања.</w:t>
      </w:r>
    </w:p>
    <w:p>
      <w:pPr>
        <w:spacing w:line="273" w:lineRule="auto"/>
        <w:jc w:val="both"/>
        <w:rPr>
          <w:rFonts w:ascii="Arial" w:hAnsi="Arial" w:eastAsia="Arial" w:cs="Arial"/>
          <w:lang w:val="sr-Cyrl-RS"/>
        </w:rPr>
      </w:pPr>
    </w:p>
    <w:p>
      <w:pPr>
        <w:spacing w:line="17" w:lineRule="exact"/>
        <w:rPr>
          <w:rFonts w:ascii="Arial" w:hAnsi="Arial" w:cs="Arial"/>
          <w:lang w:val="sr-Cyrl-RS"/>
        </w:rPr>
      </w:pPr>
    </w:p>
    <w:p>
      <w:pPr>
        <w:spacing w:line="271" w:lineRule="auto"/>
        <w:jc w:val="both"/>
        <w:rPr>
          <w:rFonts w:ascii="Arial" w:hAnsi="Arial" w:eastAsia="Arial" w:cs="Arial"/>
          <w:lang w:val="sr-Cyrl-RS"/>
        </w:rPr>
      </w:pPr>
      <w:r>
        <w:rPr>
          <w:rFonts w:ascii="Arial" w:hAnsi="Arial" w:eastAsia="Arial" w:cs="Arial"/>
          <w:lang w:val="sr-Cyrl-RS"/>
        </w:rPr>
        <w:t>Програм пружа конкретне предлоге и смернице актерима туристичке привреде на територији општине Гаџин Хан, како би унапредили активности у области туризма, те у наредних 5 година подигли конкурентност туристичке привреде од 2023 до 2027. године</w:t>
      </w:r>
    </w:p>
    <w:p>
      <w:pPr>
        <w:spacing w:line="200" w:lineRule="exact"/>
        <w:rPr>
          <w:rFonts w:ascii="Arial" w:hAnsi="Arial" w:cs="Arial"/>
          <w:lang w:val="sr-Cyrl-RS"/>
        </w:rPr>
      </w:pPr>
    </w:p>
    <w:p>
      <w:pPr>
        <w:spacing w:line="205" w:lineRule="exact"/>
        <w:rPr>
          <w:rFonts w:ascii="Arial" w:hAnsi="Arial" w:cs="Arial"/>
          <w:lang w:val="sr-Cyrl-RS"/>
        </w:rPr>
      </w:pPr>
    </w:p>
    <w:p>
      <w:pPr>
        <w:pStyle w:val="2"/>
        <w:rPr>
          <w:rFonts w:ascii="Arial" w:hAnsi="Arial" w:eastAsia="Arial" w:cs="Arial"/>
          <w:sz w:val="24"/>
          <w:szCs w:val="24"/>
          <w:lang w:val="sr-Cyrl-RS"/>
        </w:rPr>
      </w:pPr>
      <w:bookmarkStart w:id="5" w:name="_Toc144818230"/>
      <w:bookmarkStart w:id="6" w:name="_Toc159226508"/>
      <w:bookmarkStart w:id="7" w:name="_Toc143596756"/>
      <w:bookmarkStart w:id="8" w:name="_Toc143596910"/>
      <w:r>
        <w:rPr>
          <w:rFonts w:ascii="Arial" w:hAnsi="Arial" w:eastAsia="Arial" w:cs="Arial"/>
          <w:sz w:val="24"/>
          <w:szCs w:val="24"/>
          <w:lang w:val="sr-Cyrl-RS"/>
        </w:rPr>
        <w:t>2 . МЕТОДОЛОГИЈА РАДА</w:t>
      </w:r>
      <w:bookmarkEnd w:id="5"/>
      <w:bookmarkEnd w:id="6"/>
      <w:bookmarkEnd w:id="7"/>
      <w:bookmarkEnd w:id="8"/>
    </w:p>
    <w:p>
      <w:pPr>
        <w:spacing w:line="319" w:lineRule="exact"/>
        <w:rPr>
          <w:rFonts w:ascii="Arial" w:hAnsi="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Методе и технике које су примењене у изради Програма развоја односе се на примарно и секундарно прикупљање података, анализу прикупљених података уз табеларне и графичке приказе, анкетирање учесника у туристичкој понуди, реализацију интерактивних радионица, „SWОТ“ анализу, компаративну анализу</w:t>
      </w:r>
    </w:p>
    <w:p>
      <w:pPr>
        <w:spacing w:line="15" w:lineRule="exact"/>
        <w:rPr>
          <w:rFonts w:ascii="Arial" w:hAnsi="Arial" w:cs="Arial"/>
          <w:lang w:val="sr-Cyrl-RS"/>
        </w:rPr>
      </w:pPr>
    </w:p>
    <w:p>
      <w:pPr>
        <w:numPr>
          <w:ilvl w:val="0"/>
          <w:numId w:val="3"/>
        </w:numPr>
        <w:tabs>
          <w:tab w:val="left" w:pos="204"/>
        </w:tabs>
        <w:spacing w:line="268" w:lineRule="auto"/>
        <w:ind w:right="20" w:firstLine="1"/>
        <w:rPr>
          <w:rFonts w:ascii="Arial" w:hAnsi="Arial" w:eastAsia="Arial" w:cs="Arial"/>
          <w:lang w:val="sr-Cyrl-RS"/>
        </w:rPr>
      </w:pPr>
      <w:r>
        <w:rPr>
          <w:rFonts w:ascii="Arial" w:hAnsi="Arial" w:eastAsia="Arial" w:cs="Arial"/>
          <w:lang w:val="sr-Cyrl-RS"/>
        </w:rPr>
        <w:t>друго. Начин рада био је теренски и кабинетски. Програм развоја израђен је у складу са принципима одрживог развоја дестинације.</w:t>
      </w:r>
    </w:p>
    <w:p>
      <w:pPr>
        <w:spacing w:line="328"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Основни задаци:</w:t>
      </w:r>
    </w:p>
    <w:p>
      <w:pPr>
        <w:spacing w:line="230" w:lineRule="exact"/>
        <w:rPr>
          <w:rFonts w:ascii="Arial" w:hAnsi="Arial" w:cs="Arial"/>
          <w:lang w:val="sr-Cyrl-RS"/>
        </w:rPr>
      </w:pPr>
    </w:p>
    <w:p>
      <w:pPr>
        <w:numPr>
          <w:ilvl w:val="1"/>
          <w:numId w:val="4"/>
        </w:numPr>
        <w:tabs>
          <w:tab w:val="left" w:pos="720"/>
        </w:tabs>
        <w:spacing w:line="269" w:lineRule="auto"/>
        <w:ind w:left="720" w:right="20" w:hanging="359"/>
        <w:jc w:val="both"/>
        <w:rPr>
          <w:rFonts w:ascii="Arial" w:hAnsi="Arial" w:eastAsia="Arial" w:cs="Arial"/>
          <w:lang w:val="sr-Cyrl-RS"/>
        </w:rPr>
      </w:pPr>
      <w:r>
        <w:rPr>
          <w:rFonts w:ascii="Arial" w:hAnsi="Arial" w:eastAsia="Arial" w:cs="Arial"/>
          <w:lang w:val="sr-Cyrl-RS"/>
        </w:rPr>
        <w:t>Израдити Програм развоја туризма са потребним анализама, стратешким правцима, одредити пројекте конкурентности, план управљању дестинацијом, акционе планове у периоду од 2023 до 2027. године;</w:t>
      </w:r>
    </w:p>
    <w:p>
      <w:pPr>
        <w:spacing w:line="31" w:lineRule="exact"/>
        <w:rPr>
          <w:rFonts w:ascii="Arial" w:hAnsi="Arial" w:eastAsia="Arial" w:cs="Arial"/>
          <w:lang w:val="sr-Cyrl-RS"/>
        </w:rPr>
      </w:pPr>
    </w:p>
    <w:p>
      <w:pPr>
        <w:numPr>
          <w:ilvl w:val="1"/>
          <w:numId w:val="4"/>
        </w:numPr>
        <w:tabs>
          <w:tab w:val="left" w:pos="720"/>
        </w:tabs>
        <w:spacing w:line="0" w:lineRule="atLeast"/>
        <w:ind w:left="720" w:hanging="359"/>
        <w:rPr>
          <w:rFonts w:ascii="Arial" w:hAnsi="Arial" w:eastAsia="Arial" w:cs="Arial"/>
          <w:lang w:val="sr-Cyrl-RS"/>
        </w:rPr>
      </w:pPr>
      <w:r>
        <w:rPr>
          <w:rFonts w:ascii="Arial" w:hAnsi="Arial" w:eastAsia="Arial" w:cs="Arial"/>
          <w:lang w:val="sr-Cyrl-RS"/>
        </w:rPr>
        <w:t>Израдити акционе планове у периоду од 2023 до 2027. године;</w:t>
      </w:r>
    </w:p>
    <w:p>
      <w:pPr>
        <w:spacing w:line="70" w:lineRule="exact"/>
        <w:rPr>
          <w:rFonts w:ascii="Arial" w:hAnsi="Arial" w:eastAsia="Arial" w:cs="Arial"/>
          <w:lang w:val="sr-Cyrl-RS"/>
        </w:rPr>
      </w:pPr>
    </w:p>
    <w:p>
      <w:pPr>
        <w:numPr>
          <w:ilvl w:val="1"/>
          <w:numId w:val="4"/>
        </w:numPr>
        <w:tabs>
          <w:tab w:val="left" w:pos="720"/>
        </w:tabs>
        <w:spacing w:line="260" w:lineRule="auto"/>
        <w:ind w:left="720" w:right="20" w:hanging="359"/>
        <w:rPr>
          <w:rFonts w:ascii="Arial" w:hAnsi="Arial" w:eastAsia="Arial" w:cs="Arial"/>
          <w:lang w:val="sr-Cyrl-RS"/>
        </w:rPr>
      </w:pPr>
      <w:r>
        <w:rPr>
          <w:rFonts w:ascii="Arial" w:hAnsi="Arial" w:eastAsia="Arial" w:cs="Arial"/>
          <w:lang w:val="sr-Cyrl-RS"/>
        </w:rPr>
        <w:t>Пренети знање учесницима радионица о неопходним, планираним и потенцијалним активностима у туризму на дестинацији .</w:t>
      </w:r>
    </w:p>
    <w:p>
      <w:pPr>
        <w:spacing w:line="336" w:lineRule="exact"/>
        <w:rPr>
          <w:rFonts w:ascii="Arial" w:hAnsi="Arial" w:eastAsia="Arial" w:cs="Arial"/>
          <w:lang w:val="sr-Cyrl-RS"/>
        </w:rPr>
      </w:pPr>
    </w:p>
    <w:p>
      <w:pPr>
        <w:tabs>
          <w:tab w:val="left" w:pos="220"/>
        </w:tabs>
        <w:spacing w:line="0" w:lineRule="atLeast"/>
        <w:ind w:left="220"/>
        <w:rPr>
          <w:rFonts w:ascii="Arial" w:hAnsi="Arial" w:eastAsia="Arial" w:cs="Arial"/>
          <w:lang w:val="sr-Cyrl-RS"/>
        </w:rPr>
      </w:pPr>
      <w:r>
        <w:rPr>
          <w:rFonts w:ascii="Arial" w:hAnsi="Arial" w:eastAsia="Arial" w:cs="Arial"/>
          <w:lang w:val="sr-Cyrl-RS"/>
        </w:rPr>
        <w:t>Процес израде Програма текао је кроз неколико фаза. Ове фазе су:</w:t>
      </w:r>
    </w:p>
    <w:p>
      <w:pPr>
        <w:spacing w:line="64" w:lineRule="exact"/>
        <w:rPr>
          <w:rFonts w:ascii="Arial" w:hAnsi="Arial" w:eastAsia="Arial" w:cs="Arial"/>
          <w:lang w:val="sr-Cyrl-RS"/>
        </w:rPr>
      </w:pPr>
    </w:p>
    <w:p>
      <w:pPr>
        <w:numPr>
          <w:ilvl w:val="1"/>
          <w:numId w:val="4"/>
        </w:numPr>
        <w:tabs>
          <w:tab w:val="left" w:pos="720"/>
        </w:tabs>
        <w:spacing w:line="0" w:lineRule="atLeast"/>
        <w:ind w:left="720" w:hanging="359"/>
        <w:rPr>
          <w:rFonts w:ascii="Arial" w:hAnsi="Arial" w:eastAsia="Arial" w:cs="Arial"/>
          <w:lang w:val="sr-Cyrl-RS"/>
        </w:rPr>
      </w:pPr>
      <w:r>
        <w:rPr>
          <w:rFonts w:ascii="Arial" w:hAnsi="Arial" w:eastAsia="Arial" w:cs="Arial"/>
          <w:lang w:val="sr-Cyrl-RS"/>
        </w:rPr>
        <w:t>Обилазак терена</w:t>
      </w:r>
    </w:p>
    <w:p>
      <w:pPr>
        <w:spacing w:line="54" w:lineRule="exact"/>
        <w:rPr>
          <w:rFonts w:ascii="Arial" w:hAnsi="Arial" w:eastAsia="Arial" w:cs="Arial"/>
          <w:lang w:val="sr-Cyrl-RS"/>
        </w:rPr>
      </w:pPr>
    </w:p>
    <w:p>
      <w:pPr>
        <w:numPr>
          <w:ilvl w:val="1"/>
          <w:numId w:val="4"/>
        </w:numPr>
        <w:tabs>
          <w:tab w:val="left" w:pos="720"/>
        </w:tabs>
        <w:spacing w:line="0" w:lineRule="atLeast"/>
        <w:ind w:left="720" w:hanging="359"/>
        <w:rPr>
          <w:rFonts w:ascii="Arial" w:hAnsi="Arial" w:eastAsia="Arial" w:cs="Arial"/>
          <w:lang w:val="sr-Cyrl-RS"/>
        </w:rPr>
      </w:pPr>
      <w:r>
        <w:rPr>
          <w:rFonts w:ascii="Arial" w:hAnsi="Arial" w:eastAsia="Arial" w:cs="Arial"/>
          <w:lang w:val="sr-Cyrl-RS"/>
        </w:rPr>
        <w:t>Разговор са представницима доносиоца одлука Гаџин Хан</w:t>
      </w:r>
    </w:p>
    <w:p>
      <w:pPr>
        <w:spacing w:line="200" w:lineRule="exact"/>
        <w:rPr>
          <w:rFonts w:ascii="Arial" w:hAnsi="Arial" w:cs="Arial"/>
          <w:lang w:val="sr-Cyrl-RS"/>
        </w:rPr>
      </w:pPr>
    </w:p>
    <w:p>
      <w:pPr>
        <w:spacing w:line="200" w:lineRule="exact"/>
        <w:rPr>
          <w:rFonts w:ascii="Arial" w:hAnsi="Arial" w:cs="Arial"/>
          <w:lang w:val="sr-Cyrl-RS"/>
        </w:rPr>
      </w:pPr>
    </w:p>
    <w:p>
      <w:pPr>
        <w:spacing w:line="269" w:lineRule="exact"/>
        <w:rPr>
          <w:rFonts w:ascii="Arial" w:hAnsi="Arial" w:cs="Arial"/>
          <w:lang w:val="sr-Cyrl-RS"/>
        </w:rPr>
      </w:pPr>
    </w:p>
    <w:p>
      <w:pPr>
        <w:spacing w:line="0" w:lineRule="atLeast"/>
        <w:ind w:left="8900"/>
        <w:rPr>
          <w:rFonts w:ascii="Arial" w:hAnsi="Arial" w:cs="Arial"/>
          <w:lang w:val="sr-Cyrl-RS"/>
        </w:rPr>
        <w:sectPr>
          <w:type w:val="continuous"/>
          <w:pgSz w:w="11900" w:h="16840"/>
          <w:pgMar w:top="707" w:right="1425" w:bottom="551" w:left="1440" w:header="0" w:footer="0" w:gutter="0"/>
          <w:cols w:equalWidth="0" w:num="1">
            <w:col w:w="9040"/>
          </w:cols>
          <w:docGrid w:linePitch="360" w:charSpace="0"/>
        </w:sectPr>
      </w:pPr>
    </w:p>
    <w:p>
      <w:pPr>
        <w:spacing w:line="333" w:lineRule="exact"/>
        <w:rPr>
          <w:rFonts w:ascii="Arial" w:hAnsi="Arial" w:cs="Arial"/>
          <w:lang w:val="sr-Cyrl-RS"/>
        </w:rPr>
      </w:pPr>
      <w:bookmarkStart w:id="9" w:name="page6"/>
      <w:bookmarkEnd w:id="9"/>
    </w:p>
    <w:p>
      <w:pPr>
        <w:numPr>
          <w:ilvl w:val="1"/>
          <w:numId w:val="5"/>
        </w:numPr>
        <w:tabs>
          <w:tab w:val="left" w:pos="720"/>
        </w:tabs>
        <w:spacing w:line="264" w:lineRule="auto"/>
        <w:ind w:left="720" w:right="20" w:hanging="359"/>
        <w:rPr>
          <w:rFonts w:ascii="Arial" w:hAnsi="Arial" w:eastAsia="Arial" w:cs="Arial"/>
          <w:lang w:val="sr-Cyrl-RS"/>
        </w:rPr>
      </w:pPr>
      <w:r>
        <w:rPr>
          <w:rFonts w:ascii="Arial" w:hAnsi="Arial" w:eastAsia="Arial" w:cs="Arial"/>
          <w:lang w:val="sr-Cyrl-RS"/>
        </w:rPr>
        <w:t>Одржавање радионице за пружаоце туристичких услуга на територији Општине Гаџин Хан</w:t>
      </w:r>
    </w:p>
    <w:p>
      <w:pPr>
        <w:spacing w:line="42" w:lineRule="exact"/>
        <w:rPr>
          <w:rFonts w:ascii="Arial" w:hAnsi="Arial" w:eastAsia="Arial" w:cs="Arial"/>
          <w:lang w:val="sr-Cyrl-RS"/>
        </w:rPr>
      </w:pPr>
    </w:p>
    <w:p>
      <w:pPr>
        <w:numPr>
          <w:ilvl w:val="1"/>
          <w:numId w:val="5"/>
        </w:numPr>
        <w:tabs>
          <w:tab w:val="left" w:pos="720"/>
        </w:tabs>
        <w:spacing w:line="269" w:lineRule="auto"/>
        <w:ind w:left="720" w:right="20" w:hanging="359"/>
        <w:jc w:val="both"/>
        <w:rPr>
          <w:rFonts w:ascii="Arial" w:hAnsi="Arial" w:eastAsia="Arial" w:cs="Arial"/>
          <w:lang w:val="sr-Cyrl-RS"/>
        </w:rPr>
      </w:pPr>
      <w:r>
        <w:rPr>
          <w:rFonts w:ascii="Arial" w:hAnsi="Arial" w:eastAsia="Arial" w:cs="Arial"/>
          <w:lang w:val="sr-Cyrl-RS"/>
        </w:rPr>
        <w:t>Теренски рад - обилазак кључних атракција, као и потенцијалних развојних тачака (потенцијална кампинг зона, зона купалишта и одмора, воденице, села и друго)</w:t>
      </w:r>
    </w:p>
    <w:p>
      <w:pPr>
        <w:spacing w:line="31" w:lineRule="exact"/>
        <w:rPr>
          <w:rFonts w:ascii="Arial" w:hAnsi="Arial" w:eastAsia="Arial" w:cs="Arial"/>
          <w:lang w:val="sr-Cyrl-RS"/>
        </w:rPr>
      </w:pPr>
    </w:p>
    <w:p>
      <w:pPr>
        <w:numPr>
          <w:ilvl w:val="1"/>
          <w:numId w:val="5"/>
        </w:numPr>
        <w:tabs>
          <w:tab w:val="left" w:pos="720"/>
        </w:tabs>
        <w:spacing w:line="0" w:lineRule="atLeast"/>
        <w:ind w:left="720" w:hanging="359"/>
        <w:rPr>
          <w:rFonts w:ascii="Arial" w:hAnsi="Arial" w:eastAsia="Arial" w:cs="Arial"/>
          <w:lang w:val="sr-Cyrl-RS"/>
        </w:rPr>
      </w:pPr>
      <w:r>
        <w:rPr>
          <w:rFonts w:ascii="Arial" w:hAnsi="Arial" w:eastAsia="Arial" w:cs="Arial"/>
          <w:lang w:val="sr-Cyrl-RS"/>
        </w:rPr>
        <w:t>Разговори са пружаоцима услуга у туризму у Гаџином Хану</w:t>
      </w:r>
    </w:p>
    <w:p>
      <w:pPr>
        <w:spacing w:line="59" w:lineRule="exact"/>
        <w:rPr>
          <w:rFonts w:ascii="Arial" w:hAnsi="Arial" w:eastAsia="Arial" w:cs="Arial"/>
          <w:lang w:val="sr-Cyrl-RS"/>
        </w:rPr>
      </w:pPr>
    </w:p>
    <w:p>
      <w:pPr>
        <w:numPr>
          <w:ilvl w:val="1"/>
          <w:numId w:val="5"/>
        </w:numPr>
        <w:tabs>
          <w:tab w:val="left" w:pos="720"/>
        </w:tabs>
        <w:spacing w:line="0" w:lineRule="atLeast"/>
        <w:ind w:left="720" w:hanging="359"/>
        <w:rPr>
          <w:rFonts w:ascii="Arial" w:hAnsi="Arial" w:eastAsia="Arial" w:cs="Arial"/>
          <w:lang w:val="sr-Cyrl-RS"/>
        </w:rPr>
      </w:pPr>
      <w:r>
        <w:rPr>
          <w:rFonts w:ascii="Arial" w:hAnsi="Arial" w:eastAsia="Arial" w:cs="Arial"/>
          <w:lang w:val="sr-Cyrl-RS"/>
        </w:rPr>
        <w:t>Анкетирање кључних субјеката у туризму Општине Гаџин Хан</w:t>
      </w:r>
    </w:p>
    <w:p>
      <w:pPr>
        <w:spacing w:line="54" w:lineRule="exact"/>
        <w:rPr>
          <w:rFonts w:ascii="Arial" w:hAnsi="Arial" w:eastAsia="Arial" w:cs="Arial"/>
          <w:lang w:val="sr-Cyrl-RS"/>
        </w:rPr>
      </w:pPr>
    </w:p>
    <w:p>
      <w:pPr>
        <w:numPr>
          <w:ilvl w:val="1"/>
          <w:numId w:val="5"/>
        </w:numPr>
        <w:tabs>
          <w:tab w:val="left" w:pos="720"/>
        </w:tabs>
        <w:spacing w:line="0" w:lineRule="atLeast"/>
        <w:ind w:left="720" w:hanging="359"/>
        <w:rPr>
          <w:rFonts w:ascii="Arial" w:hAnsi="Arial" w:eastAsia="Arial" w:cs="Arial"/>
          <w:lang w:val="sr-Cyrl-RS"/>
        </w:rPr>
      </w:pPr>
      <w:r>
        <w:rPr>
          <w:rFonts w:ascii="Arial" w:hAnsi="Arial" w:eastAsia="Arial" w:cs="Arial"/>
          <w:lang w:val="sr-Cyrl-RS"/>
        </w:rPr>
        <w:t>Анкетирање туриста - перцепција туриста</w:t>
      </w:r>
    </w:p>
    <w:p>
      <w:pPr>
        <w:spacing w:line="70" w:lineRule="exact"/>
        <w:rPr>
          <w:rFonts w:ascii="Arial" w:hAnsi="Arial" w:eastAsia="Arial" w:cs="Arial"/>
          <w:lang w:val="sr-Cyrl-RS"/>
        </w:rPr>
      </w:pPr>
    </w:p>
    <w:p>
      <w:pPr>
        <w:numPr>
          <w:ilvl w:val="1"/>
          <w:numId w:val="5"/>
        </w:numPr>
        <w:tabs>
          <w:tab w:val="left" w:pos="720"/>
        </w:tabs>
        <w:spacing w:line="264" w:lineRule="auto"/>
        <w:ind w:left="720" w:right="20" w:hanging="359"/>
        <w:rPr>
          <w:rFonts w:ascii="Arial" w:hAnsi="Arial" w:eastAsia="Arial" w:cs="Arial"/>
          <w:lang w:val="sr-Cyrl-RS"/>
        </w:rPr>
      </w:pPr>
      <w:r>
        <w:rPr>
          <w:rFonts w:ascii="Arial" w:hAnsi="Arial" w:eastAsia="Arial" w:cs="Arial"/>
          <w:lang w:val="sr-Cyrl-RS"/>
        </w:rPr>
        <w:t>Секундарно истраживање свих достављених и доступних података у вези са општим контекстом</w:t>
      </w:r>
    </w:p>
    <w:p>
      <w:pPr>
        <w:spacing w:line="42" w:lineRule="exact"/>
        <w:rPr>
          <w:rFonts w:ascii="Arial" w:hAnsi="Arial" w:eastAsia="Arial" w:cs="Arial"/>
          <w:lang w:val="sr-Cyrl-RS"/>
        </w:rPr>
      </w:pPr>
    </w:p>
    <w:p>
      <w:pPr>
        <w:numPr>
          <w:ilvl w:val="1"/>
          <w:numId w:val="5"/>
        </w:numPr>
        <w:tabs>
          <w:tab w:val="left" w:pos="720"/>
        </w:tabs>
        <w:spacing w:line="269" w:lineRule="auto"/>
        <w:ind w:left="720" w:hanging="359"/>
        <w:jc w:val="both"/>
        <w:rPr>
          <w:rFonts w:ascii="Arial" w:hAnsi="Arial" w:eastAsia="Arial" w:cs="Arial"/>
          <w:lang w:val="sr-Cyrl-RS"/>
        </w:rPr>
      </w:pPr>
      <w:r>
        <w:rPr>
          <w:rFonts w:ascii="Arial" w:hAnsi="Arial" w:eastAsia="Arial" w:cs="Arial"/>
          <w:lang w:val="sr-Cyrl-RS"/>
        </w:rPr>
        <w:t>Секундарно истраживање глобалних квантитативних и квалитативних трендова у туризму, према доступним подацима „UNWTO“, „WТТC“, као и других доступних извора</w:t>
      </w:r>
    </w:p>
    <w:p>
      <w:pPr>
        <w:spacing w:line="41" w:lineRule="exact"/>
        <w:rPr>
          <w:rFonts w:ascii="Arial" w:hAnsi="Arial" w:eastAsia="Arial" w:cs="Arial"/>
          <w:lang w:val="sr-Cyrl-RS"/>
        </w:rPr>
      </w:pPr>
    </w:p>
    <w:p>
      <w:pPr>
        <w:numPr>
          <w:ilvl w:val="1"/>
          <w:numId w:val="5"/>
        </w:numPr>
        <w:tabs>
          <w:tab w:val="left" w:pos="720"/>
        </w:tabs>
        <w:spacing w:line="265" w:lineRule="auto"/>
        <w:ind w:left="720" w:right="20" w:hanging="359"/>
        <w:rPr>
          <w:rFonts w:ascii="Arial" w:hAnsi="Arial" w:eastAsia="Arial" w:cs="Arial"/>
          <w:lang w:val="sr-Cyrl-RS"/>
        </w:rPr>
      </w:pPr>
      <w:r>
        <w:rPr>
          <w:rFonts w:ascii="Arial" w:hAnsi="Arial" w:eastAsia="Arial" w:cs="Arial"/>
          <w:lang w:val="sr-Cyrl-RS"/>
        </w:rPr>
        <w:t>Секундарно и примарно истраживање других туристичких регија погодних за „оутдоор“ и сеоски туризам.</w:t>
      </w:r>
    </w:p>
    <w:p>
      <w:pPr>
        <w:spacing w:line="325" w:lineRule="exact"/>
        <w:rPr>
          <w:rFonts w:ascii="Arial" w:hAnsi="Arial" w:eastAsia="Arial" w:cs="Arial"/>
          <w:lang w:val="sr-Cyrl-RS"/>
        </w:rPr>
      </w:pPr>
    </w:p>
    <w:p>
      <w:pPr>
        <w:numPr>
          <w:ilvl w:val="0"/>
          <w:numId w:val="5"/>
        </w:numPr>
        <w:tabs>
          <w:tab w:val="left" w:pos="280"/>
        </w:tabs>
        <w:spacing w:line="0" w:lineRule="atLeast"/>
        <w:ind w:left="280" w:hanging="279"/>
        <w:rPr>
          <w:rFonts w:ascii="Arial" w:hAnsi="Arial" w:eastAsia="Arial" w:cs="Arial"/>
          <w:lang w:val="sr-Cyrl-RS"/>
        </w:rPr>
      </w:pPr>
      <w:r>
        <w:rPr>
          <w:rFonts w:ascii="Arial" w:hAnsi="Arial" w:eastAsia="Arial" w:cs="Arial"/>
          <w:lang w:val="sr-Cyrl-RS"/>
        </w:rPr>
        <w:t>анексу овог документа налази се Анализа Упитника за пружаоце услуга у</w:t>
      </w:r>
    </w:p>
    <w:p>
      <w:pPr>
        <w:spacing w:line="55" w:lineRule="exact"/>
        <w:rPr>
          <w:rFonts w:ascii="Arial" w:hAnsi="Arial" w:cs="Arial"/>
          <w:lang w:val="sr-Cyrl-RS"/>
        </w:rPr>
      </w:pPr>
    </w:p>
    <w:p>
      <w:pPr>
        <w:spacing w:line="271" w:lineRule="auto"/>
        <w:ind w:right="20"/>
        <w:jc w:val="both"/>
        <w:rPr>
          <w:rFonts w:ascii="Arial" w:hAnsi="Arial" w:eastAsia="Arial" w:cs="Arial"/>
          <w:lang w:val="sr-Cyrl-RS"/>
        </w:rPr>
      </w:pPr>
      <w:r>
        <w:rPr>
          <w:rFonts w:ascii="Arial" w:hAnsi="Arial" w:eastAsia="Arial" w:cs="Arial"/>
          <w:lang w:val="sr-Cyrl-RS"/>
        </w:rPr>
        <w:t>туризму на простору Општине Гаџин Хан, који оцењују инфраструктуру, туристичке производе и друге параметре. Резултати Анкета укључени су у Програм развоја.</w:t>
      </w:r>
    </w:p>
    <w:p>
      <w:pPr>
        <w:spacing w:line="200" w:lineRule="exact"/>
        <w:rPr>
          <w:rFonts w:ascii="Arial" w:hAnsi="Arial" w:cs="Arial"/>
          <w:lang w:val="sr-Cyrl-RS"/>
        </w:rPr>
      </w:pPr>
    </w:p>
    <w:p>
      <w:pPr>
        <w:spacing w:line="205" w:lineRule="exact"/>
        <w:rPr>
          <w:rFonts w:ascii="Arial" w:hAnsi="Arial" w:cs="Arial"/>
          <w:lang w:val="sr-Cyrl-RS"/>
        </w:rPr>
      </w:pPr>
    </w:p>
    <w:p>
      <w:pPr>
        <w:pStyle w:val="2"/>
        <w:rPr>
          <w:rFonts w:ascii="Arial" w:hAnsi="Arial" w:eastAsia="Arial" w:cs="Arial"/>
          <w:b/>
          <w:bCs w:val="0"/>
          <w:sz w:val="24"/>
          <w:szCs w:val="24"/>
          <w:lang w:val="sr-Cyrl-RS"/>
        </w:rPr>
      </w:pPr>
      <w:bookmarkStart w:id="10" w:name="_Toc143596757"/>
      <w:bookmarkStart w:id="11" w:name="_Toc159226509"/>
      <w:bookmarkStart w:id="12" w:name="_Toc143596911"/>
      <w:r>
        <w:rPr>
          <w:rFonts w:ascii="Arial" w:hAnsi="Arial" w:eastAsia="Arial" w:cs="Arial"/>
          <w:b/>
          <w:bCs w:val="0"/>
          <w:sz w:val="24"/>
          <w:szCs w:val="24"/>
          <w:lang w:val="sr-Cyrl-RS"/>
        </w:rPr>
        <w:t>3. ПЛАНСКИ И ИНСТИТУЦИОНАЛНИ ОСНОВ ЗА ИЗРАДУ ПРОГРАМА РАЗВОЈА ТУРИЗМА ОПШТИНЕ ГАЏИН ХАН</w:t>
      </w:r>
      <w:bookmarkEnd w:id="10"/>
      <w:bookmarkEnd w:id="11"/>
      <w:bookmarkEnd w:id="12"/>
    </w:p>
    <w:p>
      <w:pPr>
        <w:spacing w:line="170" w:lineRule="exact"/>
        <w:rPr>
          <w:lang w:val="sr-Cyrl-RS"/>
        </w:rPr>
      </w:pPr>
    </w:p>
    <w:p>
      <w:pPr>
        <w:spacing w:line="273" w:lineRule="auto"/>
        <w:ind w:right="20"/>
        <w:jc w:val="both"/>
        <w:rPr>
          <w:rFonts w:ascii="Arial" w:hAnsi="Arial" w:eastAsia="Arial"/>
          <w:lang w:val="sr-Cyrl-RS"/>
        </w:rPr>
      </w:pPr>
      <w:r>
        <w:rPr>
          <w:rFonts w:ascii="Arial" w:hAnsi="Arial" w:eastAsia="Arial"/>
          <w:lang w:val="sr-Cyrl-RS"/>
        </w:rPr>
        <w:t>Плански основ за израду Програма садржан је одредбама Закона о туризму, важеће</w:t>
      </w:r>
      <w:r>
        <w:rPr>
          <w:rFonts w:ascii="Arial" w:hAnsi="Arial" w:eastAsia="Arial"/>
          <w:lang w:val="sr-Latn-RS"/>
        </w:rPr>
        <w:t xml:space="preserve"> </w:t>
      </w:r>
      <w:r>
        <w:rPr>
          <w:rFonts w:ascii="Arial" w:hAnsi="Arial" w:eastAsia="Arial"/>
          <w:lang w:val="sr-Cyrl-RS"/>
        </w:rPr>
        <w:t>Стратегије развоја туризма Републике Србије и других прописа Републике Србије, као и</w:t>
      </w:r>
      <w:r>
        <w:rPr>
          <w:rFonts w:ascii="Arial" w:hAnsi="Arial" w:eastAsia="Arial"/>
          <w:lang w:val="sr-Latn-RS"/>
        </w:rPr>
        <w:t xml:space="preserve"> </w:t>
      </w:r>
      <w:r>
        <w:rPr>
          <w:rFonts w:ascii="Arial" w:hAnsi="Arial" w:eastAsia="Arial"/>
          <w:lang w:val="sr-Cyrl-RS"/>
        </w:rPr>
        <w:t>аката донетих од стране локалне самоуправе, а од значаја су за туризам.</w:t>
      </w:r>
    </w:p>
    <w:p>
      <w:pPr>
        <w:spacing w:line="273" w:lineRule="auto"/>
        <w:ind w:right="20"/>
        <w:jc w:val="both"/>
        <w:rPr>
          <w:rFonts w:ascii="Arial" w:hAnsi="Arial" w:eastAsia="Arial"/>
          <w:lang w:val="sr-Cyrl-RS"/>
        </w:rPr>
      </w:pPr>
      <w:r>
        <w:rPr>
          <w:rFonts w:ascii="Arial" w:hAnsi="Arial" w:eastAsia="Arial"/>
          <w:lang w:val="sr-Cyrl-RS"/>
        </w:rPr>
        <w:t>Програм развоја туризма Општине Гаџин Хан за период од 2023. до 2027. године (у даљем тексту: Програм) припремљен је на основу члана 6. Став 2. Закона о туризму (“Сл.Гласник РС”, број 17/19), Стратегије развоја туризма Републике Србије за период од 2016 до 2025. године („Службени гласник РС“, број 98/16) Законом о угоститељству</w:t>
      </w:r>
      <w:r>
        <w:rPr>
          <w:lang w:val="ru-RU"/>
        </w:rPr>
        <w:t xml:space="preserve"> </w:t>
      </w:r>
      <w:r>
        <w:rPr>
          <w:rFonts w:ascii="Arial" w:hAnsi="Arial" w:eastAsia="Arial"/>
          <w:lang w:val="sr-Cyrl-RS"/>
        </w:rPr>
        <w:t>(„Службени гласник РС”, бр. 17/2019), Законом о планском систему РС (,,Сл. Гласник број 30/18), Уредбом о методологији управлања јавним политикама, анализом ефеката јавних полнтика и прописа и садржаја појединачних докумената јавних политика (,,Сл. Гласник број 8/19) и Правилника о садржини и начину о израде програма развоја туризма (“Сл.Гласник РС”, број 86/20).</w:t>
      </w:r>
    </w:p>
    <w:p>
      <w:pPr>
        <w:spacing w:line="273" w:lineRule="auto"/>
        <w:ind w:right="20"/>
        <w:jc w:val="both"/>
        <w:rPr>
          <w:rFonts w:ascii="Arial" w:hAnsi="Arial" w:eastAsia="Arial"/>
          <w:lang w:val="sr-Cyrl-RS"/>
        </w:rPr>
      </w:pPr>
      <w:r>
        <w:rPr>
          <w:rFonts w:ascii="Arial" w:hAnsi="Arial" w:eastAsia="Arial"/>
          <w:lang w:val="sr-Cyrl-RS"/>
        </w:rPr>
        <w:t>На локалном нивоу, Програм развоја туризма општине Гаџин Хан,усаглашава се са кровним документима на нивоу локалне самоуправе. Компатибилност са наведеним документима приказана је у наставку текста.</w:t>
      </w:r>
    </w:p>
    <w:p>
      <w:pPr>
        <w:spacing w:line="22" w:lineRule="exact"/>
        <w:rPr>
          <w:lang w:val="sr-Cyrl-RS"/>
        </w:rPr>
      </w:pPr>
    </w:p>
    <w:p>
      <w:pPr>
        <w:spacing w:line="271" w:lineRule="auto"/>
        <w:ind w:right="20"/>
        <w:jc w:val="both"/>
        <w:rPr>
          <w:rFonts w:ascii="Arial" w:hAnsi="Arial" w:eastAsia="Arial"/>
          <w:lang w:val="sr-Cyrl-RS"/>
        </w:rPr>
      </w:pPr>
      <w:r>
        <w:rPr>
          <w:rFonts w:ascii="Arial" w:hAnsi="Arial" w:eastAsia="Arial"/>
          <w:lang w:val="sr-Cyrl-RS"/>
        </w:rPr>
        <w:t>Програм пружа конкретне предлоге и смернице актерима туристичке привреде, на територији Општине Гаџин Хан, како би унапредили активности у области туризма, те у наредних 4 година подигли конкурентност туристичке привреде.</w:t>
      </w:r>
    </w:p>
    <w:p>
      <w:pPr>
        <w:spacing w:line="271" w:lineRule="auto"/>
        <w:ind w:right="20"/>
        <w:jc w:val="both"/>
        <w:rPr>
          <w:rFonts w:ascii="Arial" w:hAnsi="Arial" w:eastAsia="Arial"/>
          <w:lang w:val="sr-Cyrl-RS"/>
        </w:rPr>
      </w:pPr>
    </w:p>
    <w:p>
      <w:pPr>
        <w:spacing w:line="271" w:lineRule="auto"/>
        <w:ind w:right="20"/>
        <w:jc w:val="both"/>
        <w:rPr>
          <w:rFonts w:ascii="Arial" w:hAnsi="Arial" w:eastAsia="Arial"/>
          <w:lang w:val="sr-Cyrl-RS"/>
        </w:rPr>
      </w:pPr>
    </w:p>
    <w:p>
      <w:pPr>
        <w:spacing w:line="271" w:lineRule="auto"/>
        <w:ind w:right="20"/>
        <w:jc w:val="both"/>
        <w:rPr>
          <w:rFonts w:ascii="Arial" w:hAnsi="Arial" w:eastAsia="Arial"/>
          <w:b/>
          <w:bCs/>
          <w:lang w:val="sr-Cyrl-RS"/>
        </w:rPr>
      </w:pPr>
      <w:r>
        <w:rPr>
          <w:rFonts w:ascii="Arial" w:hAnsi="Arial" w:eastAsia="Arial"/>
          <w:b/>
          <w:bCs/>
          <w:lang w:val="sr-Cyrl-RS"/>
        </w:rPr>
        <w:t>3.1.</w:t>
      </w:r>
      <w:r>
        <w:rPr>
          <w:b/>
          <w:bCs/>
          <w:lang w:val="ru-RU"/>
        </w:rPr>
        <w:t xml:space="preserve"> </w:t>
      </w:r>
      <w:r>
        <w:rPr>
          <w:rFonts w:ascii="Arial" w:hAnsi="Arial" w:eastAsia="Arial"/>
          <w:b/>
          <w:bCs/>
          <w:lang w:val="sr-Cyrl-RS"/>
        </w:rPr>
        <w:t>Институционални оквир</w:t>
      </w:r>
    </w:p>
    <w:p>
      <w:pPr>
        <w:spacing w:line="271" w:lineRule="auto"/>
        <w:ind w:right="20"/>
        <w:jc w:val="both"/>
        <w:rPr>
          <w:rFonts w:ascii="Arial" w:hAnsi="Arial" w:eastAsia="Arial"/>
          <w:lang w:val="sr-Cyrl-RS"/>
        </w:rPr>
      </w:pPr>
    </w:p>
    <w:p>
      <w:pPr>
        <w:spacing w:line="271" w:lineRule="auto"/>
        <w:ind w:right="20"/>
        <w:jc w:val="both"/>
        <w:rPr>
          <w:rFonts w:ascii="Arial" w:hAnsi="Arial" w:eastAsia="Arial"/>
          <w:lang w:val="sr-Cyrl-RS"/>
        </w:rPr>
      </w:pPr>
      <w:r>
        <w:rPr>
          <w:rFonts w:ascii="Arial" w:hAnsi="Arial" w:eastAsia="Arial"/>
          <w:lang w:val="sr-Cyrl-RS"/>
        </w:rPr>
        <w:t>Институционални оквир обухвата надлежности државних органа и институција</w:t>
      </w:r>
    </w:p>
    <w:p>
      <w:pPr>
        <w:spacing w:line="271" w:lineRule="auto"/>
        <w:ind w:right="20"/>
        <w:jc w:val="both"/>
        <w:rPr>
          <w:rFonts w:ascii="Arial" w:hAnsi="Arial" w:eastAsia="Arial"/>
          <w:lang w:val="sr-Cyrl-RS"/>
        </w:rPr>
      </w:pPr>
      <w:r>
        <w:rPr>
          <w:rFonts w:ascii="Arial" w:hAnsi="Arial" w:eastAsia="Arial"/>
          <w:lang w:val="sr-Cyrl-RS"/>
        </w:rPr>
        <w:t>јавног сектора од значаја за развој туризма општине Гаџин Хан.</w:t>
      </w:r>
    </w:p>
    <w:p>
      <w:pPr>
        <w:spacing w:line="271" w:lineRule="auto"/>
        <w:ind w:right="20"/>
        <w:jc w:val="both"/>
        <w:rPr>
          <w:rFonts w:ascii="Arial" w:hAnsi="Arial" w:eastAsia="Arial"/>
          <w:lang w:val="sr-Cyrl-RS"/>
        </w:rPr>
      </w:pPr>
    </w:p>
    <w:p>
      <w:pPr>
        <w:spacing w:line="271" w:lineRule="auto"/>
        <w:ind w:right="20"/>
        <w:jc w:val="both"/>
        <w:rPr>
          <w:rFonts w:ascii="Arial" w:hAnsi="Arial" w:eastAsia="Arial"/>
          <w:b/>
          <w:bCs/>
          <w:lang w:val="sr-Cyrl-RS"/>
        </w:rPr>
      </w:pPr>
      <w:r>
        <w:rPr>
          <w:rFonts w:ascii="Arial" w:hAnsi="Arial" w:eastAsia="Arial"/>
          <w:b/>
          <w:bCs/>
          <w:lang w:val="sr-Cyrl-RS"/>
        </w:rPr>
        <w:t>Министарство туризма и омладине (МТО)</w:t>
      </w:r>
    </w:p>
    <w:p>
      <w:pPr>
        <w:spacing w:line="271" w:lineRule="auto"/>
        <w:ind w:right="20"/>
        <w:jc w:val="both"/>
        <w:rPr>
          <w:rFonts w:ascii="Arial" w:hAnsi="Arial" w:eastAsia="Arial"/>
          <w:lang w:val="sr-Cyrl-RS"/>
        </w:rPr>
      </w:pPr>
      <w:r>
        <w:rPr>
          <w:rFonts w:ascii="Arial" w:hAnsi="Arial" w:eastAsia="Arial"/>
          <w:lang w:val="sr-Cyrl-RS"/>
        </w:rPr>
        <w:t>у оквиру Сектора за туризам, између осталог, обавља послове који се односе на: спровођење Закона о туризму и Закона о угоститељству и Стратегије развоја туризма РС; праћење и анализу системских решења; правне регулативе и мера економске политике, на пословање туристичке привреде и предлагање мера у циљу развоја туризма, и остале послове приказане на званичној интернет страници МТО. На предлог Сектора за туризам ресорног министарства, Влада је усвојила Стратегију развоја туризма РС 2016-2025, Закон о туризму и Закон о угоститељству које прате правилници, уредбе и остала правна акта из области туризма на националном и локалном нивоу. Сектор туристичке инспекције МТО делује превентивно и обавља инспекцијски надзор над применом закона и прописа у области туризма и угоститељства.</w:t>
      </w:r>
    </w:p>
    <w:p>
      <w:pPr>
        <w:spacing w:line="271" w:lineRule="auto"/>
        <w:ind w:right="20"/>
        <w:jc w:val="both"/>
        <w:rPr>
          <w:rFonts w:ascii="Arial" w:hAnsi="Arial" w:eastAsia="Arial"/>
          <w:lang w:val="sr-Cyrl-RS"/>
        </w:rPr>
      </w:pPr>
      <w:r>
        <w:rPr>
          <w:rFonts w:ascii="Arial" w:hAnsi="Arial" w:eastAsia="Arial"/>
          <w:lang w:val="sr-Cyrl-RS"/>
        </w:rPr>
        <w:t>(извор:</w:t>
      </w:r>
      <w:r>
        <w:rPr>
          <w:lang w:val="ru-RU"/>
        </w:rPr>
        <w:t xml:space="preserve"> </w:t>
      </w:r>
      <w:r>
        <w:rPr>
          <w:rFonts w:ascii="Arial" w:hAnsi="Arial" w:eastAsia="Arial"/>
          <w:lang w:val="sr-Cyrl-RS"/>
        </w:rPr>
        <w:t>https://mto.gov.rs/tekst/308/sektor-za-turizam)</w:t>
      </w:r>
    </w:p>
    <w:p>
      <w:pPr>
        <w:spacing w:line="271" w:lineRule="auto"/>
        <w:ind w:right="20"/>
        <w:jc w:val="both"/>
        <w:rPr>
          <w:rFonts w:ascii="Arial" w:hAnsi="Arial" w:eastAsia="Arial"/>
          <w:lang w:val="sr-Cyrl-RS"/>
        </w:rPr>
      </w:pPr>
      <w:r>
        <w:rPr>
          <w:rFonts w:ascii="Arial" w:hAnsi="Arial" w:eastAsia="Arial"/>
          <w:b/>
          <w:bCs/>
          <w:lang w:val="sr-Cyrl-RS"/>
        </w:rPr>
        <w:t>Туристичка организација Србије (ТОС)</w:t>
      </w:r>
      <w:r>
        <w:rPr>
          <w:rFonts w:ascii="Arial" w:hAnsi="Arial" w:eastAsia="Arial"/>
          <w:lang w:val="sr-Cyrl-RS"/>
        </w:rPr>
        <w:t xml:space="preserve"> према Закону о туризму (Сл. гласник</w:t>
      </w:r>
    </w:p>
    <w:p>
      <w:pPr>
        <w:spacing w:line="271" w:lineRule="auto"/>
        <w:ind w:right="20"/>
        <w:jc w:val="both"/>
        <w:rPr>
          <w:rFonts w:ascii="Arial" w:hAnsi="Arial" w:eastAsia="Arial"/>
          <w:lang w:val="sr-Cyrl-RS"/>
        </w:rPr>
      </w:pPr>
      <w:r>
        <w:rPr>
          <w:rFonts w:ascii="Arial" w:hAnsi="Arial" w:eastAsia="Arial"/>
          <w:lang w:val="sr-Cyrl-RS"/>
        </w:rPr>
        <w:t>РС, бр. 17/2019 члан 33), обавља послове промоције туризма, координације активности туристичких организација, привредних и других субјеката у туризму на територији РС.</w:t>
      </w:r>
    </w:p>
    <w:p>
      <w:pPr>
        <w:spacing w:line="271" w:lineRule="auto"/>
        <w:ind w:right="20"/>
        <w:jc w:val="both"/>
        <w:rPr>
          <w:rFonts w:ascii="Arial" w:hAnsi="Arial" w:eastAsia="Arial"/>
          <w:lang w:val="sr-Cyrl-RS"/>
        </w:rPr>
      </w:pPr>
      <w:r>
        <w:rPr>
          <w:rFonts w:ascii="Arial" w:hAnsi="Arial" w:eastAsia="Arial"/>
          <w:b/>
          <w:bCs/>
          <w:lang w:val="sr-Cyrl-RS"/>
        </w:rPr>
        <w:t>Туристичка организација општине Гаџин Хан</w:t>
      </w:r>
      <w:r>
        <w:rPr>
          <w:rFonts w:ascii="Arial" w:hAnsi="Arial" w:eastAsia="Arial"/>
          <w:lang w:val="sr-Cyrl-RS"/>
        </w:rPr>
        <w:t xml:space="preserve"> се између осталог, бави праћењем развоја и промоцијом туризма и средствима јавног информисања популаризује и афирмише развој туризма на простору општине Гаџин Хан.</w:t>
      </w:r>
    </w:p>
    <w:p>
      <w:pPr>
        <w:spacing w:line="271" w:lineRule="auto"/>
        <w:ind w:right="20"/>
        <w:jc w:val="both"/>
        <w:rPr>
          <w:rFonts w:ascii="Arial" w:hAnsi="Arial" w:eastAsia="Arial"/>
          <w:lang w:val="sr-Cyrl-RS"/>
        </w:rPr>
      </w:pPr>
    </w:p>
    <w:p>
      <w:pPr>
        <w:pStyle w:val="3"/>
        <w:rPr>
          <w:rFonts w:eastAsia="Arial"/>
        </w:rPr>
      </w:pPr>
      <w:bookmarkStart w:id="13" w:name="_Toc159226510"/>
      <w:r>
        <w:rPr>
          <w:rFonts w:eastAsia="Arial"/>
        </w:rPr>
        <w:t>3.2. Анализа стратешких и просторно-планских докумената</w:t>
      </w:r>
      <w:bookmarkEnd w:id="13"/>
    </w:p>
    <w:p>
      <w:pPr>
        <w:spacing w:line="245" w:lineRule="exact"/>
        <w:rPr>
          <w:lang w:val="sr-Cyrl-RS"/>
        </w:rPr>
      </w:pPr>
    </w:p>
    <w:p>
      <w:pPr>
        <w:spacing w:line="237" w:lineRule="auto"/>
        <w:ind w:right="80"/>
        <w:jc w:val="both"/>
        <w:rPr>
          <w:rFonts w:ascii="Arial" w:hAnsi="Arial" w:eastAsia="Arial"/>
          <w:lang w:val="sr-Cyrl-RS"/>
        </w:rPr>
      </w:pPr>
      <w:r>
        <w:rPr>
          <w:rFonts w:ascii="Arial" w:hAnsi="Arial" w:eastAsia="Arial"/>
          <w:lang w:val="sr-Cyrl-RS"/>
        </w:rPr>
        <w:t>У Стратегији развоја туризма Републике Србије 2016-2025.  Ниш, Нишка бања дефинисани су као туристичкиа дестинација Ниша са околином. Гаџин Хан са Сувом планином је у непосредној близини Ниша (18км) и Нишке бање (11км), те на тај начин са својим туристичким ресурсима, чине део наведедене дестинације. Као књучне вредности (атрактивности) препознати су културно наслеђе, природна богатства и Нишка бања,  а као туристички производи</w:t>
      </w:r>
      <w:r>
        <w:rPr>
          <w:lang w:val="ru-RU"/>
        </w:rPr>
        <w:t xml:space="preserve"> </w:t>
      </w:r>
      <w:r>
        <w:rPr>
          <w:rFonts w:ascii="Arial" w:hAnsi="Arial" w:eastAsia="Arial"/>
          <w:lang w:val="sr-Cyrl-RS"/>
        </w:rPr>
        <w:t xml:space="preserve">Здравствени, spa&amp;wellness, Културно тематске руте, Манифестације, Рурални туризам и Специјални интереси. </w:t>
      </w:r>
    </w:p>
    <w:p>
      <w:pPr>
        <w:spacing w:line="237" w:lineRule="auto"/>
        <w:ind w:right="80"/>
        <w:jc w:val="both"/>
        <w:rPr>
          <w:rFonts w:ascii="Arial" w:hAnsi="Arial" w:eastAsia="Arial"/>
          <w:lang w:val="sr-Cyrl-RS"/>
        </w:rPr>
      </w:pPr>
    </w:p>
    <w:p>
      <w:pPr>
        <w:spacing w:line="237" w:lineRule="auto"/>
        <w:ind w:right="80"/>
        <w:jc w:val="both"/>
        <w:rPr>
          <w:rFonts w:ascii="Arial" w:hAnsi="Arial" w:eastAsia="Arial"/>
          <w:lang w:val="sr-Cyrl-RS"/>
        </w:rPr>
      </w:pPr>
      <w:r>
        <w:rPr>
          <w:rFonts w:ascii="Arial" w:hAnsi="Arial" w:eastAsia="Arial"/>
          <w:lang w:val="sr-Cyrl-RS"/>
        </w:rPr>
        <w:t>На основу Закона о планирању и изградњи Општина Гаџин Хан доноси следеће планове, односно документа:</w:t>
      </w:r>
    </w:p>
    <w:p>
      <w:pPr>
        <w:tabs>
          <w:tab w:val="left" w:pos="720"/>
        </w:tabs>
        <w:spacing w:line="264" w:lineRule="auto"/>
        <w:ind w:right="480"/>
        <w:rPr>
          <w:rFonts w:ascii="Arial" w:hAnsi="Arial" w:eastAsia="Arial"/>
          <w:lang w:val="sr-Cyrl-RS"/>
        </w:rPr>
      </w:pPr>
    </w:p>
    <w:p>
      <w:pPr>
        <w:spacing w:line="32" w:lineRule="exact"/>
        <w:rPr>
          <w:rFonts w:ascii="Arial" w:hAnsi="Arial" w:eastAsia="Arial"/>
          <w:lang w:val="sr-Cyrl-RS"/>
        </w:rPr>
      </w:pPr>
    </w:p>
    <w:p>
      <w:pPr>
        <w:numPr>
          <w:ilvl w:val="0"/>
          <w:numId w:val="6"/>
        </w:numPr>
        <w:tabs>
          <w:tab w:val="left" w:pos="720"/>
        </w:tabs>
        <w:spacing w:line="0" w:lineRule="atLeast"/>
        <w:ind w:left="720" w:hanging="359"/>
        <w:jc w:val="both"/>
        <w:rPr>
          <w:rFonts w:ascii="Arial" w:hAnsi="Arial" w:eastAsia="Arial"/>
          <w:lang w:val="sr-Cyrl-RS"/>
        </w:rPr>
      </w:pPr>
      <w:r>
        <w:rPr>
          <w:rFonts w:ascii="Arial" w:hAnsi="Arial" w:eastAsia="Arial"/>
          <w:lang w:val="sr-Cyrl-RS"/>
        </w:rPr>
        <w:t>Просторни план Општине Гаџин Хан</w:t>
      </w:r>
    </w:p>
    <w:p>
      <w:pPr>
        <w:tabs>
          <w:tab w:val="left" w:pos="720"/>
        </w:tabs>
        <w:spacing w:line="0" w:lineRule="atLeast"/>
        <w:ind w:left="720"/>
        <w:jc w:val="both"/>
        <w:rPr>
          <w:rFonts w:ascii="Arial" w:hAnsi="Arial" w:eastAsia="Arial"/>
          <w:lang w:val="sr-Cyrl-RS"/>
        </w:rPr>
      </w:pPr>
      <w:r>
        <w:rPr>
          <w:rFonts w:ascii="Arial" w:hAnsi="Arial" w:eastAsia="Arial"/>
          <w:lang w:val="sr-Cyrl-RS"/>
        </w:rPr>
        <w:t xml:space="preserve">У оквиру Просторног плана Општине, у поглављу 1.5. Просторни развој туризма, организација и уређење туристичких и рекреативних простора, планирана је зона интегративне туристичке понуде, која обухвата велики део општине Гаџин Хан. Пре свега подручје које је планирано за развој туризма јесте подручје Суве планине, затим подножје Суве планине, као и приступни путеви, те катастарске опшине Горњи и Доњи Душник. Уређење овог простора унапредиће услове за пихват и боравак туриста, те даљи развој туристичких производа рурални туризам, специјални интереси и манифестације. </w:t>
      </w:r>
    </w:p>
    <w:p>
      <w:pPr>
        <w:tabs>
          <w:tab w:val="left" w:pos="720"/>
        </w:tabs>
        <w:spacing w:line="0" w:lineRule="atLeast"/>
        <w:ind w:left="720"/>
        <w:jc w:val="both"/>
        <w:rPr>
          <w:rFonts w:ascii="Arial" w:hAnsi="Arial" w:eastAsia="Arial"/>
          <w:lang w:val="sr-Cyrl-RS"/>
        </w:rPr>
      </w:pPr>
      <w:r>
        <w:rPr>
          <w:rFonts w:ascii="Arial" w:hAnsi="Arial" w:eastAsia="Arial"/>
          <w:lang w:val="sr-Cyrl-RS"/>
        </w:rPr>
        <w:t>(извор:</w:t>
      </w:r>
      <w:r>
        <w:rPr>
          <w:lang w:val="sr-Cyrl-RS"/>
        </w:rPr>
        <w:t xml:space="preserve"> </w:t>
      </w:r>
      <w:r>
        <w:fldChar w:fldCharType="begin"/>
      </w:r>
      <w:r>
        <w:instrText xml:space="preserve"> HYPERLINK "http://www.gadzinhah.rs" </w:instrText>
      </w:r>
      <w:r>
        <w:fldChar w:fldCharType="separate"/>
      </w:r>
      <w:r>
        <w:rPr>
          <w:rStyle w:val="17"/>
          <w:rFonts w:ascii="Arial" w:hAnsi="Arial" w:eastAsia="Arial"/>
          <w:lang w:val="sr-Cyrl-RS"/>
        </w:rPr>
        <w:t>www.gadzinhah.rs</w:t>
      </w:r>
      <w:r>
        <w:rPr>
          <w:rStyle w:val="17"/>
          <w:rFonts w:ascii="Arial" w:hAnsi="Arial" w:eastAsia="Arial"/>
          <w:lang w:val="sr-Cyrl-RS"/>
        </w:rPr>
        <w:fldChar w:fldCharType="end"/>
      </w:r>
      <w:r>
        <w:rPr>
          <w:rFonts w:ascii="Arial" w:hAnsi="Arial" w:eastAsia="Arial"/>
          <w:lang w:val="sr-Cyrl-RS"/>
        </w:rPr>
        <w:t>, Просторно планска документација, Просторни план Општине Гаџин Хан, стр. 18-19)</w:t>
      </w:r>
    </w:p>
    <w:p>
      <w:pPr>
        <w:tabs>
          <w:tab w:val="left" w:pos="720"/>
        </w:tabs>
        <w:spacing w:line="0" w:lineRule="atLeast"/>
        <w:ind w:left="720"/>
        <w:jc w:val="both"/>
        <w:rPr>
          <w:rFonts w:ascii="Arial" w:hAnsi="Arial" w:eastAsia="Arial"/>
          <w:lang w:val="sr-Cyrl-RS"/>
        </w:rPr>
      </w:pPr>
    </w:p>
    <w:p>
      <w:pPr>
        <w:numPr>
          <w:ilvl w:val="0"/>
          <w:numId w:val="6"/>
        </w:numPr>
        <w:tabs>
          <w:tab w:val="left" w:pos="720"/>
        </w:tabs>
        <w:spacing w:line="0" w:lineRule="atLeast"/>
        <w:ind w:left="720" w:hanging="359"/>
        <w:rPr>
          <w:rFonts w:ascii="Arial" w:hAnsi="Arial" w:eastAsia="Arial"/>
          <w:lang w:val="sr-Cyrl-RS"/>
        </w:rPr>
      </w:pPr>
      <w:r>
        <w:rPr>
          <w:rFonts w:ascii="Arial" w:hAnsi="Arial" w:eastAsia="Arial"/>
          <w:lang w:val="sr-Cyrl-RS"/>
        </w:rPr>
        <w:t xml:space="preserve">План развоја Општине Гаџин Хан </w:t>
      </w:r>
      <w:bookmarkStart w:id="14" w:name="_Hlk151382458"/>
      <w:r>
        <w:rPr>
          <w:rFonts w:ascii="Arial" w:hAnsi="Arial" w:eastAsia="Arial"/>
          <w:lang w:val="sr-Cyrl-RS"/>
        </w:rPr>
        <w:t>за период 2023–2030.године</w:t>
      </w:r>
      <w:bookmarkEnd w:id="14"/>
    </w:p>
    <w:p>
      <w:pPr>
        <w:tabs>
          <w:tab w:val="left" w:pos="720"/>
        </w:tabs>
        <w:spacing w:line="0" w:lineRule="atLeast"/>
        <w:ind w:left="720"/>
        <w:jc w:val="both"/>
        <w:rPr>
          <w:rFonts w:ascii="Arial" w:hAnsi="Arial" w:eastAsia="Arial"/>
          <w:lang w:val="sr-Cyrl-RS"/>
        </w:rPr>
      </w:pPr>
      <w:r>
        <w:rPr>
          <w:rFonts w:ascii="Arial" w:hAnsi="Arial" w:eastAsia="Arial"/>
          <w:lang w:val="sr-Cyrl-RS"/>
        </w:rPr>
        <w:t>Један од приоритетних циљева у оквиру Плана развоја општине је успостављање услова за развој одрживог руралног туризма на територији општине Гаџин Хан.</w:t>
      </w:r>
    </w:p>
    <w:p>
      <w:pPr>
        <w:tabs>
          <w:tab w:val="left" w:pos="720"/>
        </w:tabs>
        <w:spacing w:line="0" w:lineRule="atLeast"/>
        <w:ind w:left="720"/>
        <w:jc w:val="both"/>
        <w:rPr>
          <w:rFonts w:ascii="Arial" w:hAnsi="Arial" w:eastAsia="Arial"/>
          <w:lang w:val="sr-Cyrl-RS"/>
        </w:rPr>
      </w:pPr>
      <w:r>
        <w:rPr>
          <w:rFonts w:ascii="Arial" w:hAnsi="Arial" w:eastAsia="Arial"/>
          <w:lang w:val="sr-Cyrl-RS"/>
        </w:rPr>
        <w:t>Приоритетни циљ 1.3. Успостављање услова за развој одрживог руралног туризма на територији општине Гаџин Хан</w:t>
      </w:r>
    </w:p>
    <w:p>
      <w:pPr>
        <w:tabs>
          <w:tab w:val="left" w:pos="720"/>
        </w:tabs>
        <w:spacing w:line="0" w:lineRule="atLeast"/>
        <w:ind w:left="720"/>
        <w:jc w:val="both"/>
        <w:rPr>
          <w:rFonts w:ascii="Arial" w:hAnsi="Arial" w:eastAsia="Arial"/>
          <w:lang w:val="sr-Cyrl-RS"/>
        </w:rPr>
      </w:pPr>
      <w:r>
        <w:rPr>
          <w:rFonts w:ascii="Arial" w:hAnsi="Arial" w:eastAsia="Arial"/>
          <w:lang w:val="sr-Cyrl-RS"/>
        </w:rPr>
        <w:t>Планирано је да се до краја 2030.године унапреди локална туристичка понуда и унапреде услови за развој туризма и постављене су мере за остварење приоритетног циља.</w:t>
      </w:r>
    </w:p>
    <w:p>
      <w:pPr>
        <w:tabs>
          <w:tab w:val="left" w:pos="720"/>
        </w:tabs>
        <w:spacing w:line="0" w:lineRule="atLeast"/>
        <w:ind w:left="720"/>
        <w:jc w:val="both"/>
        <w:rPr>
          <w:rFonts w:ascii="Arial" w:hAnsi="Arial" w:eastAsia="Arial"/>
          <w:lang w:val="sr-Cyrl-RS"/>
        </w:rPr>
      </w:pPr>
      <w:r>
        <w:rPr>
          <w:rFonts w:ascii="Arial" w:hAnsi="Arial" w:eastAsia="Arial"/>
          <w:lang w:val="sr-Cyrl-RS"/>
        </w:rPr>
        <w:t>Мера 1.3.1. Израда просторно - планске документације намењене развоју руралног туризма.</w:t>
      </w:r>
    </w:p>
    <w:p>
      <w:pPr>
        <w:tabs>
          <w:tab w:val="left" w:pos="720"/>
        </w:tabs>
        <w:spacing w:line="0" w:lineRule="atLeast"/>
        <w:ind w:left="720"/>
        <w:jc w:val="both"/>
        <w:rPr>
          <w:rFonts w:ascii="Arial" w:hAnsi="Arial" w:eastAsia="Arial"/>
          <w:lang w:val="sr-Cyrl-RS"/>
        </w:rPr>
      </w:pPr>
      <w:r>
        <w:rPr>
          <w:rFonts w:ascii="Arial" w:hAnsi="Arial" w:eastAsia="Arial"/>
          <w:lang w:val="sr-Cyrl-RS"/>
        </w:rPr>
        <w:t>Активности (пројекти) које је потребно спровести тичу се израде неопходне просторно – планске документације као предуслова за реконструкцију постојеће и изградњу нове комуналне инфраструктуре и комуналних објеката у циљу развоја туризма на територији општине Гаџин Хан, затим зрадити План детаљне регулације за ауто капм, просторно планску документацију за развој планине Селичевица, просторно планску</w:t>
      </w:r>
    </w:p>
    <w:p>
      <w:pPr>
        <w:tabs>
          <w:tab w:val="left" w:pos="720"/>
        </w:tabs>
        <w:spacing w:line="0" w:lineRule="atLeast"/>
        <w:ind w:left="720"/>
        <w:jc w:val="both"/>
        <w:rPr>
          <w:rFonts w:ascii="Arial" w:hAnsi="Arial" w:eastAsia="Arial"/>
          <w:lang w:val="sr-Cyrl-RS"/>
        </w:rPr>
      </w:pPr>
      <w:r>
        <w:rPr>
          <w:rFonts w:ascii="Arial" w:hAnsi="Arial" w:eastAsia="Arial"/>
          <w:lang w:val="sr-Cyrl-RS"/>
        </w:rPr>
        <w:t>документацију за развој планине Бабичка Гора. Наведено је да је израда просторно-планске документације неопходна како би се створили предуслови за даљи развој локација и локалитета за развој туризма, изградњу неопходне инфраструктуре, итд.</w:t>
      </w:r>
    </w:p>
    <w:p>
      <w:pPr>
        <w:tabs>
          <w:tab w:val="left" w:pos="720"/>
        </w:tabs>
        <w:spacing w:line="0" w:lineRule="atLeast"/>
        <w:ind w:left="720"/>
        <w:jc w:val="both"/>
        <w:rPr>
          <w:rFonts w:ascii="Arial" w:hAnsi="Arial" w:eastAsia="Arial"/>
          <w:lang w:val="sr-Cyrl-RS"/>
        </w:rPr>
      </w:pPr>
      <w:r>
        <w:rPr>
          <w:rFonts w:ascii="Arial" w:hAnsi="Arial" w:eastAsia="Arial"/>
          <w:lang w:val="sr-Cyrl-RS"/>
        </w:rPr>
        <w:t>Мера 1.3.2. Реконструкција постојеће и изградња нове комуналне инфраструктуре намењене развоју руралног туризма.</w:t>
      </w:r>
    </w:p>
    <w:p>
      <w:pPr>
        <w:tabs>
          <w:tab w:val="left" w:pos="720"/>
        </w:tabs>
        <w:spacing w:line="0" w:lineRule="atLeast"/>
        <w:ind w:left="720"/>
        <w:jc w:val="both"/>
        <w:rPr>
          <w:rFonts w:ascii="Arial" w:hAnsi="Arial" w:eastAsia="Arial"/>
          <w:lang w:val="sr-Cyrl-RS"/>
        </w:rPr>
      </w:pPr>
      <w:r>
        <w:rPr>
          <w:rFonts w:ascii="Arial" w:hAnsi="Arial" w:eastAsia="Arial"/>
          <w:lang w:val="sr-Cyrl-RS"/>
        </w:rPr>
        <w:t>Кроз спровођење ове меренаведено је да је потребно да се спроведу активности које су усмерене на израду неопходне пројектно техничке – документације намењене комуналном опремању туристичких локалитета (инфраструктура и комунални објекти) и на инфраструктурно опремање локалитета на Сувој планини, на Бабичкој Гори и на Селичевици, и то:</w:t>
      </w:r>
    </w:p>
    <w:p>
      <w:pPr>
        <w:pStyle w:val="51"/>
        <w:numPr>
          <w:ilvl w:val="0"/>
          <w:numId w:val="7"/>
        </w:numPr>
        <w:tabs>
          <w:tab w:val="left" w:pos="720"/>
        </w:tabs>
        <w:spacing w:line="0" w:lineRule="atLeast"/>
        <w:jc w:val="both"/>
        <w:rPr>
          <w:rFonts w:ascii="Arial" w:hAnsi="Arial" w:eastAsia="Arial"/>
          <w:lang w:val="sr-Cyrl-RS"/>
        </w:rPr>
      </w:pPr>
      <w:r>
        <w:rPr>
          <w:rFonts w:ascii="Arial" w:hAnsi="Arial" w:eastAsia="Arial"/>
          <w:lang w:val="sr-Cyrl-RS"/>
        </w:rPr>
        <w:t>Уређење и маркирање пешчких, планинарских, мото и бициклистичких стаза</w:t>
      </w:r>
    </w:p>
    <w:p>
      <w:pPr>
        <w:pStyle w:val="51"/>
        <w:numPr>
          <w:ilvl w:val="0"/>
          <w:numId w:val="7"/>
        </w:numPr>
        <w:tabs>
          <w:tab w:val="left" w:pos="720"/>
        </w:tabs>
        <w:spacing w:line="0" w:lineRule="atLeast"/>
        <w:jc w:val="both"/>
        <w:rPr>
          <w:rFonts w:ascii="Arial" w:hAnsi="Arial" w:eastAsia="Arial"/>
          <w:lang w:val="sr-Cyrl-RS"/>
        </w:rPr>
      </w:pPr>
      <w:r>
        <w:rPr>
          <w:rFonts w:ascii="Arial" w:hAnsi="Arial" w:eastAsia="Arial"/>
          <w:lang w:val="sr-Cyrl-RS"/>
        </w:rPr>
        <w:t>Уређење и маркирање стаза здравља</w:t>
      </w:r>
    </w:p>
    <w:p>
      <w:pPr>
        <w:pStyle w:val="51"/>
        <w:numPr>
          <w:ilvl w:val="0"/>
          <w:numId w:val="7"/>
        </w:numPr>
        <w:tabs>
          <w:tab w:val="left" w:pos="720"/>
        </w:tabs>
        <w:spacing w:line="0" w:lineRule="atLeast"/>
        <w:jc w:val="both"/>
        <w:rPr>
          <w:rFonts w:ascii="Arial" w:hAnsi="Arial" w:eastAsia="Arial"/>
          <w:lang w:val="sr-Cyrl-RS"/>
        </w:rPr>
      </w:pPr>
      <w:r>
        <w:rPr>
          <w:rFonts w:ascii="Arial" w:hAnsi="Arial" w:eastAsia="Arial"/>
          <w:lang w:val="sr-Cyrl-RS"/>
        </w:rPr>
        <w:t>Туристичка сигнализација</w:t>
      </w:r>
    </w:p>
    <w:p>
      <w:pPr>
        <w:pStyle w:val="51"/>
        <w:numPr>
          <w:ilvl w:val="0"/>
          <w:numId w:val="7"/>
        </w:numPr>
        <w:tabs>
          <w:tab w:val="left" w:pos="720"/>
        </w:tabs>
        <w:spacing w:line="0" w:lineRule="atLeast"/>
        <w:jc w:val="both"/>
        <w:rPr>
          <w:rFonts w:ascii="Arial" w:hAnsi="Arial" w:eastAsia="Arial"/>
          <w:lang w:val="sr-Cyrl-RS"/>
        </w:rPr>
      </w:pPr>
      <w:r>
        <w:rPr>
          <w:rFonts w:ascii="Arial" w:hAnsi="Arial" w:eastAsia="Arial"/>
          <w:lang w:val="sr-Cyrl-RS"/>
        </w:rPr>
        <w:t>Саобраћајна инфраструктура и паркинзи</w:t>
      </w:r>
    </w:p>
    <w:p>
      <w:pPr>
        <w:pStyle w:val="51"/>
        <w:numPr>
          <w:ilvl w:val="0"/>
          <w:numId w:val="7"/>
        </w:numPr>
        <w:tabs>
          <w:tab w:val="left" w:pos="720"/>
        </w:tabs>
        <w:spacing w:line="0" w:lineRule="atLeast"/>
        <w:jc w:val="both"/>
        <w:rPr>
          <w:rFonts w:ascii="Arial" w:hAnsi="Arial" w:eastAsia="Arial"/>
          <w:lang w:val="sr-Cyrl-RS"/>
        </w:rPr>
      </w:pPr>
      <w:r>
        <w:rPr>
          <w:rFonts w:ascii="Arial" w:hAnsi="Arial" w:eastAsia="Arial"/>
          <w:lang w:val="sr-Cyrl-RS"/>
        </w:rPr>
        <w:t>Видиковци, опремање излетишта и чеке и осматрачнице</w:t>
      </w:r>
    </w:p>
    <w:p>
      <w:pPr>
        <w:tabs>
          <w:tab w:val="left" w:pos="720"/>
        </w:tabs>
        <w:spacing w:line="0" w:lineRule="atLeast"/>
        <w:ind w:left="720"/>
        <w:jc w:val="both"/>
        <w:rPr>
          <w:rFonts w:ascii="Arial" w:hAnsi="Arial" w:eastAsia="Arial"/>
          <w:lang w:val="sr-Cyrl-RS"/>
        </w:rPr>
      </w:pPr>
      <w:r>
        <w:rPr>
          <w:rFonts w:ascii="Arial" w:hAnsi="Arial" w:eastAsia="Arial"/>
          <w:lang w:val="sr-Cyrl-RS"/>
        </w:rPr>
        <w:t>Мера 1.3.3. Финансијски подстицаји за развој руралног туризма (опремање смештајних објеката, реконструкција и адаптација смештајних објеката, изградња, итд.).</w:t>
      </w:r>
    </w:p>
    <w:p>
      <w:pPr>
        <w:tabs>
          <w:tab w:val="left" w:pos="720"/>
        </w:tabs>
        <w:spacing w:line="0" w:lineRule="atLeast"/>
        <w:ind w:left="720"/>
        <w:jc w:val="both"/>
        <w:rPr>
          <w:rFonts w:ascii="Arial" w:hAnsi="Arial" w:eastAsia="Arial"/>
          <w:lang w:val="sr-Cyrl-RS"/>
        </w:rPr>
      </w:pPr>
      <w:r>
        <w:rPr>
          <w:rFonts w:ascii="Arial" w:hAnsi="Arial" w:eastAsia="Arial"/>
          <w:lang w:val="sr-Cyrl-RS"/>
        </w:rPr>
        <w:t>Кроз спровођење ове мере наведена је потреба да се спроведу активности које су усмерене на директну финансијску и нефинансјску подршку сектору туризма, тј, категоризованим домаћинствима која пружају услугу хране и смештаја на територији општине Гаџин Хан и то за субвенционисањем камате на инвестиционе кредите, кроз директна давања за набавку опреме, изградњу објеката, реконструкцију објеката, набавку намештаја и опреме за смештајне објекте, за изградњу и опремање објеката за развој ловног туризма, итд.</w:t>
      </w:r>
    </w:p>
    <w:p>
      <w:pPr>
        <w:tabs>
          <w:tab w:val="left" w:pos="720"/>
        </w:tabs>
        <w:spacing w:line="0" w:lineRule="atLeast"/>
        <w:ind w:left="720"/>
        <w:jc w:val="both"/>
        <w:rPr>
          <w:rFonts w:ascii="Arial" w:hAnsi="Arial" w:eastAsia="Arial"/>
          <w:lang w:val="sr-Cyrl-RS"/>
        </w:rPr>
      </w:pPr>
      <w:r>
        <w:rPr>
          <w:rFonts w:ascii="Arial" w:hAnsi="Arial" w:eastAsia="Arial"/>
          <w:lang w:val="sr-Cyrl-RS"/>
        </w:rPr>
        <w:t>Мера 1.3.4. Стручне и тематске едукације за локалне пружаоце услуга у сектору туризма и подршка код конкурисања за доступна републичка и страна донаторска средства.</w:t>
      </w:r>
    </w:p>
    <w:p>
      <w:pPr>
        <w:tabs>
          <w:tab w:val="left" w:pos="720"/>
        </w:tabs>
        <w:spacing w:line="0" w:lineRule="atLeast"/>
        <w:ind w:left="720"/>
        <w:jc w:val="both"/>
        <w:rPr>
          <w:rFonts w:ascii="Arial" w:hAnsi="Arial" w:eastAsia="Arial"/>
          <w:lang w:val="sr-Cyrl-RS"/>
        </w:rPr>
      </w:pPr>
      <w:r>
        <w:rPr>
          <w:rFonts w:ascii="Arial" w:hAnsi="Arial" w:eastAsia="Arial"/>
          <w:lang w:val="sr-Cyrl-RS"/>
        </w:rPr>
        <w:t>Кроз спровођење ове мере исказана је потреба  да се спроведу активности које су усмерене на припрему, организацију и спровођење обука, семинара и саветовања са локалним пружаоцима услуга у руралном туризму, али и за запослене у туризму у циљу подизања капацитета, стицања нових знања, упознавања са најбољим примерима праксе из региона по питању туризма, туристичке понуде, промоције, маркетинга, итд.</w:t>
      </w:r>
    </w:p>
    <w:p>
      <w:pPr>
        <w:tabs>
          <w:tab w:val="left" w:pos="720"/>
        </w:tabs>
        <w:spacing w:line="0" w:lineRule="atLeast"/>
        <w:ind w:left="720"/>
        <w:jc w:val="both"/>
        <w:rPr>
          <w:rFonts w:ascii="Arial" w:hAnsi="Arial" w:eastAsia="Arial"/>
          <w:lang w:val="sr-Cyrl-RS"/>
        </w:rPr>
      </w:pPr>
      <w:r>
        <w:rPr>
          <w:rFonts w:ascii="Arial" w:hAnsi="Arial" w:eastAsia="Arial"/>
          <w:lang w:val="sr-Cyrl-RS"/>
        </w:rPr>
        <w:t>Планиране су и активности посете сајмовима туризма у земљи и иностранству, али и стручне и тематске едукације и подршка код конкурисања за доступна републичка и страна донаторска финансијска средстава за унапређење и јачање туристичке понуде.</w:t>
      </w:r>
    </w:p>
    <w:p>
      <w:pPr>
        <w:tabs>
          <w:tab w:val="left" w:pos="720"/>
        </w:tabs>
        <w:spacing w:line="0" w:lineRule="atLeast"/>
        <w:ind w:left="720"/>
        <w:jc w:val="both"/>
        <w:rPr>
          <w:rFonts w:ascii="Arial" w:hAnsi="Arial" w:eastAsia="Arial"/>
          <w:lang w:val="sr-Cyrl-RS"/>
        </w:rPr>
      </w:pPr>
      <w:r>
        <w:rPr>
          <w:rFonts w:ascii="Arial" w:hAnsi="Arial" w:eastAsia="Arial"/>
          <w:lang w:val="sr-Cyrl-RS"/>
        </w:rPr>
        <w:t>Мера 1.3.5. Информисање и едукација туриста и посетилаца о значају очувања животне средине</w:t>
      </w:r>
    </w:p>
    <w:p>
      <w:pPr>
        <w:tabs>
          <w:tab w:val="left" w:pos="720"/>
        </w:tabs>
        <w:spacing w:line="0" w:lineRule="atLeast"/>
        <w:ind w:left="720"/>
        <w:jc w:val="both"/>
        <w:rPr>
          <w:rFonts w:ascii="Arial" w:hAnsi="Arial" w:eastAsia="Arial"/>
          <w:lang w:val="sr-Cyrl-RS"/>
        </w:rPr>
      </w:pPr>
      <w:r>
        <w:rPr>
          <w:rFonts w:ascii="Arial" w:hAnsi="Arial" w:eastAsia="Arial"/>
          <w:lang w:val="sr-Cyrl-RS"/>
        </w:rPr>
        <w:t>Кроз спровођење ове мере утврђена је потреба да се спроведу редовне активности које су усмерене на информисање и едукацију већих група туриста – огранизоване посете ђака, ловаца, риболоваца, планинара, излетника, затим о процедурама и правилима понашања у у природи, о заштити животне средине, о третману отпада у природи и на излетиштима, о паљењу ватре, о флори и фауни на територији општине Гаџин Хан, о заштићеним врстама на територији општине Гаџин Хан, итд.</w:t>
      </w:r>
      <w:r>
        <w:rPr>
          <w:rFonts w:ascii="Arial" w:hAnsi="Arial" w:eastAsia="Arial"/>
          <w:lang w:val="sr-Cyrl-RS"/>
        </w:rPr>
        <w:cr/>
      </w:r>
      <w:r>
        <w:rPr>
          <w:rFonts w:ascii="Arial" w:hAnsi="Arial" w:eastAsia="Arial"/>
          <w:lang w:val="sr-Cyrl-RS"/>
        </w:rPr>
        <w:t>Мера 1.3.6. Маркетинг и промоција општинских туристичких потенцијала (промотивни филмови, промотивне брошуре, интернет портали и друштвене мреже, итд.)</w:t>
      </w:r>
    </w:p>
    <w:p>
      <w:pPr>
        <w:tabs>
          <w:tab w:val="left" w:pos="720"/>
        </w:tabs>
        <w:spacing w:line="0" w:lineRule="atLeast"/>
        <w:ind w:left="720"/>
        <w:jc w:val="both"/>
        <w:rPr>
          <w:rFonts w:ascii="Arial" w:hAnsi="Arial" w:eastAsia="Arial"/>
          <w:lang w:val="sr-Cyrl-RS"/>
        </w:rPr>
      </w:pPr>
      <w:r>
        <w:rPr>
          <w:rFonts w:ascii="Arial" w:hAnsi="Arial" w:eastAsia="Arial"/>
          <w:lang w:val="sr-Cyrl-RS"/>
        </w:rPr>
        <w:t>Кроз спровођење ове мере наведена је потреба да се спроведу активности које су усмерене на маркетинг и промоцију туристичких локалитета општине Гаџин Хан – Сува Планина, Бабичка Гора и Селичевица, историјски и споменици културе, манастири, цркве, културно историјски споменици, ловни локалитети, итд., те да је неопходно осмислити, дизајнирати и припремити промотивне филмове, промотивне брошуре,</w:t>
      </w:r>
    </w:p>
    <w:p>
      <w:pPr>
        <w:tabs>
          <w:tab w:val="left" w:pos="720"/>
        </w:tabs>
        <w:spacing w:line="0" w:lineRule="atLeast"/>
        <w:ind w:left="720"/>
        <w:jc w:val="both"/>
        <w:rPr>
          <w:rFonts w:ascii="Arial" w:hAnsi="Arial" w:eastAsia="Arial"/>
          <w:lang w:val="sr-Cyrl-RS"/>
        </w:rPr>
      </w:pPr>
      <w:r>
        <w:rPr>
          <w:rFonts w:ascii="Arial" w:hAnsi="Arial" w:eastAsia="Arial"/>
          <w:lang w:val="sr-Cyrl-RS"/>
        </w:rPr>
        <w:t>интернет портале, промотивне активности на друштвеним мрежама, итд.)</w:t>
      </w:r>
    </w:p>
    <w:p>
      <w:pPr>
        <w:spacing w:line="365" w:lineRule="exact"/>
        <w:rPr>
          <w:rFonts w:ascii="Arial" w:hAnsi="Arial" w:cs="Arial"/>
          <w:lang w:val="sr-Cyrl-RS"/>
        </w:rPr>
      </w:pPr>
      <w:r>
        <w:rPr>
          <w:rFonts w:ascii="Arial" w:hAnsi="Arial" w:eastAsia="Arial"/>
          <w:lang w:val="sr-Cyrl-RS"/>
        </w:rPr>
        <w:t>(извор:www.gadzinhah.rs, Стратешки документи, План развоја Општине Гаџин Хан за период 2023–2030.године, стр.14-17)</w:t>
      </w:r>
    </w:p>
    <w:p>
      <w:pPr>
        <w:spacing w:line="302" w:lineRule="exact"/>
        <w:rPr>
          <w:rFonts w:ascii="Arial" w:hAnsi="Arial" w:cs="Arial"/>
          <w:lang w:val="sr-Cyrl-RS"/>
        </w:rPr>
      </w:pPr>
      <w:bookmarkStart w:id="15" w:name="page8"/>
      <w:bookmarkEnd w:id="15"/>
    </w:p>
    <w:p>
      <w:pPr>
        <w:pStyle w:val="2"/>
        <w:rPr>
          <w:rFonts w:ascii="Arial" w:hAnsi="Arial" w:eastAsia="Arial" w:cs="Arial"/>
          <w:b/>
          <w:bCs w:val="0"/>
          <w:sz w:val="24"/>
          <w:szCs w:val="24"/>
          <w:lang w:val="sr-Cyrl-RS"/>
        </w:rPr>
      </w:pPr>
      <w:bookmarkStart w:id="16" w:name="_Toc159226511"/>
      <w:bookmarkStart w:id="17" w:name="_Toc144818233"/>
      <w:bookmarkStart w:id="18" w:name="_Toc143596759"/>
      <w:bookmarkStart w:id="19" w:name="_Toc143596913"/>
      <w:r>
        <w:rPr>
          <w:rFonts w:ascii="Arial" w:hAnsi="Arial" w:eastAsia="Arial" w:cs="Arial"/>
          <w:b/>
          <w:bCs w:val="0"/>
          <w:sz w:val="24"/>
          <w:szCs w:val="24"/>
          <w:lang w:val="sr-Cyrl-RS"/>
        </w:rPr>
        <w:t>4. OПШТЕ ИНФОРМАЦИЈЕ О ЈЕДНИНИЦИ ЛОКАЛНЕ САМОУПРАВЕ</w:t>
      </w:r>
      <w:bookmarkEnd w:id="16"/>
    </w:p>
    <w:p>
      <w:pPr>
        <w:pStyle w:val="3"/>
        <w:rPr>
          <w:rFonts w:eastAsia="Arial"/>
        </w:rPr>
      </w:pPr>
      <w:bookmarkStart w:id="20" w:name="_Toc159226512"/>
      <w:r>
        <w:rPr>
          <w:rFonts w:eastAsia="Arial"/>
        </w:rPr>
        <w:t>4.1. Географске, демографске и климатске карактеристике</w:t>
      </w:r>
      <w:bookmarkEnd w:id="17"/>
      <w:bookmarkEnd w:id="18"/>
      <w:bookmarkEnd w:id="19"/>
      <w:bookmarkEnd w:id="20"/>
    </w:p>
    <w:p>
      <w:pPr>
        <w:rPr>
          <w:lang w:val="sr-Cyrl-RS" w:eastAsia="en-US"/>
        </w:rPr>
      </w:pPr>
    </w:p>
    <w:p>
      <w:pPr>
        <w:pStyle w:val="4"/>
        <w:rPr>
          <w:rFonts w:ascii="Arial" w:hAnsi="Arial" w:cs="Arial"/>
          <w:i w:val="0"/>
          <w:iCs/>
          <w:lang w:val="sr-Cyrl-RS"/>
        </w:rPr>
      </w:pPr>
      <w:bookmarkStart w:id="21" w:name="_Toc144818234"/>
      <w:bookmarkStart w:id="22" w:name="_Toc159226513"/>
      <w:r>
        <w:rPr>
          <w:rFonts w:ascii="Arial" w:hAnsi="Arial" w:cs="Arial"/>
          <w:i w:val="0"/>
          <w:iCs/>
          <w:lang w:val="sr-Cyrl-RS"/>
        </w:rPr>
        <w:t>Географске карактеристике</w:t>
      </w:r>
      <w:bookmarkEnd w:id="21"/>
      <w:bookmarkEnd w:id="22"/>
    </w:p>
    <w:p>
      <w:pPr>
        <w:spacing w:line="234" w:lineRule="auto"/>
        <w:ind w:right="40"/>
        <w:rPr>
          <w:rFonts w:ascii="Arial" w:hAnsi="Arial" w:eastAsia="Arial" w:cs="Arial"/>
          <w:i/>
          <w:lang w:val="sr-Cyrl-RS"/>
        </w:rPr>
      </w:pPr>
      <w:r>
        <w:rPr>
          <w:rFonts w:ascii="Arial" w:hAnsi="Arial" w:eastAsia="Arial" w:cs="Arial"/>
          <w:i/>
          <w:lang w:val="sr-Cyrl-RS"/>
        </w:rPr>
        <w:t>Слика 1 Положај Општине Гаџин Хан, Стратегија одрживог развоја Општине Гаџин Хан</w:t>
      </w:r>
    </w:p>
    <w:p>
      <w:pPr>
        <w:rPr>
          <w:lang w:val="sr-Cyrl-RS" w:eastAsia="en-US"/>
        </w:rPr>
      </w:pPr>
    </w:p>
    <w:p>
      <w:pPr>
        <w:spacing w:line="275" w:lineRule="auto"/>
        <w:ind w:left="5180"/>
        <w:jc w:val="both"/>
        <w:rPr>
          <w:rFonts w:ascii="Arial" w:hAnsi="Arial" w:eastAsia="Arial" w:cs="Arial"/>
          <w:lang w:val="sr-Cyrl-RS"/>
        </w:rPr>
      </w:pPr>
      <w:r>
        <w:rPr>
          <w:rFonts w:ascii="Arial" w:hAnsi="Arial" w:eastAsia="Arial" w:cs="Arial"/>
          <w:lang w:val="sr-Cyrl-RS"/>
        </w:rPr>
        <w:t>Општина Гаџин Хан је део Нишавског округа у Србији. На северу се граничи са општином Бела Паланка и градом Нишом, на југоистоку општином Бабушница, на југу су општине Власотинце и Лесковац, а на западу са Општином Дољевац.</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-1605280</wp:posOffset>
            </wp:positionV>
            <wp:extent cx="3179445" cy="3977005"/>
            <wp:effectExtent l="0" t="0" r="0" b="0"/>
            <wp:wrapNone/>
            <wp:docPr id="540" name="Picture 144" descr="A map of a state&#10;&#10;Description automatically generated"/>
            <wp:cNvGraphicFramePr/>
            <a:graphic xmlns:a="http://schemas.openxmlformats.org/drawingml/2006/main">
              <a:graphicData uri="http://schemas.openxmlformats.org/drawingml/2006/picture">
                <pic:pic xmlns:pic="http://schemas.openxmlformats.org/drawingml/2006/picture">
                  <pic:nvPicPr>
                    <pic:cNvPr id="540" name="Picture 144" descr="A map of a state&#10;&#10;Description automatically generated"/>
                    <pic:cNvPicPr/>
                  </pic:nvPicPr>
                  <pic:blipFill>
                    <a:blip r:embed="rId8"/>
                    <a:srcRect/>
                    <a:stretch>
                      <a:fillRect/>
                    </a:stretch>
                  </pic:blipFill>
                  <pic:spPr>
                    <a:xfrm>
                      <a:off x="0" y="0"/>
                      <a:ext cx="3179445" cy="3977005"/>
                    </a:xfrm>
                    <a:prstGeom prst="rect">
                      <a:avLst/>
                    </a:prstGeom>
                    <a:noFill/>
                    <a:ln>
                      <a:noFill/>
                    </a:ln>
                  </pic:spPr>
                </pic:pic>
              </a:graphicData>
            </a:graphic>
          </wp:anchor>
        </w:drawing>
      </w:r>
    </w:p>
    <w:p>
      <w:pPr>
        <w:spacing w:line="200" w:lineRule="exact"/>
        <w:rPr>
          <w:rFonts w:ascii="Arial" w:hAnsi="Arial" w:cs="Arial"/>
          <w:lang w:val="sr-Cyrl-RS"/>
        </w:rPr>
      </w:pPr>
    </w:p>
    <w:p>
      <w:pPr>
        <w:spacing w:line="200" w:lineRule="exact"/>
        <w:rPr>
          <w:rFonts w:ascii="Arial" w:hAnsi="Arial" w:cs="Arial"/>
          <w:lang w:val="sr-Cyrl-RS"/>
        </w:rPr>
      </w:pPr>
    </w:p>
    <w:p>
      <w:pPr>
        <w:spacing w:line="226" w:lineRule="exact"/>
        <w:rPr>
          <w:rFonts w:ascii="Arial" w:hAnsi="Arial" w:cs="Arial"/>
          <w:lang w:val="sr-Cyrl-RS"/>
        </w:rPr>
      </w:pPr>
    </w:p>
    <w:p>
      <w:pPr>
        <w:spacing w:line="274" w:lineRule="auto"/>
        <w:ind w:left="5180"/>
        <w:jc w:val="both"/>
        <w:rPr>
          <w:rFonts w:ascii="Arial" w:hAnsi="Arial" w:eastAsia="Arial" w:cs="Arial"/>
          <w:lang w:val="sr-Cyrl-RS"/>
        </w:rPr>
      </w:pPr>
      <w:r>
        <w:rPr>
          <w:rFonts w:ascii="Arial" w:hAnsi="Arial" w:eastAsia="Arial" w:cs="Arial"/>
          <w:lang w:val="sr-Cyrl-RS"/>
        </w:rPr>
        <w:t>Подручје Општине Гаџин Хан припада простору Југоисточне Србије, која припада централној зони Балканског полуострва коју је одредио Јован Цвијић још 1924. године. Област Гаџин Хан лежи између Суве планине, Бабичке Горе и Селичевице и највећим делом се поклапа са подручјем општине.</w:t>
      </w:r>
    </w:p>
    <w:p>
      <w:pPr>
        <w:spacing w:line="200" w:lineRule="exact"/>
        <w:rPr>
          <w:rFonts w:ascii="Arial" w:hAnsi="Arial" w:cs="Arial"/>
          <w:lang w:val="sr-Cyrl-RS"/>
        </w:rPr>
      </w:pPr>
    </w:p>
    <w:p>
      <w:pPr>
        <w:spacing w:line="275" w:lineRule="exact"/>
        <w:rPr>
          <w:rFonts w:ascii="Arial" w:hAnsi="Arial" w:cs="Arial"/>
          <w:lang w:val="ru-RU"/>
        </w:rPr>
      </w:pPr>
      <w:r>
        <w:rPr>
          <w:rFonts w:ascii="Arial" w:hAnsi="Arial" w:cs="Arial"/>
          <w:lang w:val="sr-Cyrl-RS"/>
        </w:rPr>
        <w:t xml:space="preserve">Извор: Стратегија одрживог развоја Општине Гаџин Хан </w:t>
      </w:r>
    </w:p>
    <w:p>
      <w:pPr>
        <w:spacing w:line="275" w:lineRule="exact"/>
        <w:rPr>
          <w:rFonts w:ascii="Arial" w:hAnsi="Arial" w:cs="Arial"/>
          <w:lang w:val="sr-Cyrl-RS"/>
        </w:rPr>
      </w:pPr>
      <w:r>
        <w:rPr>
          <w:rFonts w:ascii="Arial" w:hAnsi="Arial" w:cs="Arial"/>
          <w:lang w:val="sr-Cyrl-RS"/>
        </w:rPr>
        <w:t>2012 -2022</w:t>
      </w:r>
    </w:p>
    <w:p>
      <w:pPr>
        <w:spacing w:line="275" w:lineRule="exact"/>
        <w:rPr>
          <w:rFonts w:ascii="Arial" w:hAnsi="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 xml:space="preserve">Површина Општине Гаџин Хан је 325,5km2 – преовладава брдскопланински тип рељефа. Својом територијом општина Гаџин Хан излази у Поморавље, на реку Јужну Мораву и на </w:t>
      </w:r>
      <w:r>
        <w:rPr>
          <w:rFonts w:ascii="Arial" w:hAnsi="Arial" w:eastAsia="Arial" w:cs="Arial"/>
          <w:b/>
          <w:lang w:val="sr-Cyrl-RS"/>
        </w:rPr>
        <w:t>аутопут Ниш – Скопље, тј. Коридор 10</w:t>
      </w:r>
      <w:r>
        <w:rPr>
          <w:rFonts w:ascii="Arial" w:hAnsi="Arial" w:eastAsia="Arial" w:cs="Arial"/>
          <w:lang w:val="sr-Cyrl-RS"/>
        </w:rPr>
        <w:t>. Пошто је ограничено трима планинама и реком Јужном Моравом, подручје Гаџин Хан има низине на само 200 м надморске висине, а поједини његови терени се подижу и до 1.810 м надморске висине.</w:t>
      </w:r>
    </w:p>
    <w:p>
      <w:pPr>
        <w:spacing w:line="337" w:lineRule="exact"/>
        <w:rPr>
          <w:rFonts w:ascii="Arial" w:hAnsi="Arial" w:cs="Arial"/>
          <w:lang w:val="sr-Cyrl-RS"/>
        </w:rPr>
      </w:pPr>
    </w:p>
    <w:p>
      <w:pPr>
        <w:spacing w:line="264" w:lineRule="auto"/>
        <w:ind w:right="20"/>
        <w:jc w:val="both"/>
        <w:rPr>
          <w:rFonts w:ascii="Arial" w:hAnsi="Arial" w:eastAsia="Arial" w:cs="Arial"/>
          <w:lang w:val="sr-Cyrl-RS"/>
        </w:rPr>
      </w:pPr>
      <w:r>
        <w:rPr>
          <w:rFonts w:ascii="Arial" w:hAnsi="Arial" w:eastAsia="Arial" w:cs="Arial"/>
          <w:lang w:val="sr-Cyrl-RS"/>
        </w:rPr>
        <w:t>У рељефу Општине Гаџин Хан карактеристичне су две природне целине. Горње Заплање које лежи између Суве планине и Бабичке горе и има правац северозапад југоисток и Доње Заплање је затворено Селичевицом са северозапада, а на западној страни је отворено према реци Јужној Морави, док је са југоистока затворено Бабичком гором а са истока Сувом планином а дужина овог дела је 17 км док је ширина од 6 до 8 км.</w:t>
      </w:r>
    </w:p>
    <w:p>
      <w:pPr>
        <w:tabs>
          <w:tab w:val="left" w:pos="225"/>
        </w:tabs>
        <w:spacing w:line="272" w:lineRule="auto"/>
        <w:ind w:right="20"/>
        <w:jc w:val="both"/>
        <w:rPr>
          <w:rFonts w:ascii="Arial" w:hAnsi="Arial" w:eastAsia="Arial" w:cs="Arial"/>
          <w:lang w:val="sr-Cyrl-RS"/>
        </w:rPr>
      </w:pPr>
    </w:p>
    <w:p>
      <w:pPr>
        <w:spacing w:line="268" w:lineRule="auto"/>
        <w:ind w:right="20"/>
        <w:jc w:val="both"/>
        <w:rPr>
          <w:rFonts w:ascii="Arial" w:hAnsi="Arial" w:eastAsia="Arial" w:cs="Arial"/>
          <w:lang w:val="sr-Cyrl-RS"/>
        </w:rPr>
      </w:pPr>
      <w:r>
        <w:rPr>
          <w:rFonts w:ascii="Arial" w:hAnsi="Arial" w:eastAsia="Arial" w:cs="Arial"/>
          <w:lang w:val="sr-Cyrl-RS"/>
        </w:rPr>
        <w:t>Само један мали део територије општине поред Јужне Мораве припада низији док остали део припада висији, од којих се издвајају три поменуте планине.</w:t>
      </w:r>
    </w:p>
    <w:p>
      <w:pPr>
        <w:spacing w:line="268" w:lineRule="auto"/>
        <w:ind w:right="20"/>
        <w:jc w:val="both"/>
        <w:rPr>
          <w:rFonts w:ascii="Arial" w:hAnsi="Arial" w:eastAsia="Arial" w:cs="Arial"/>
          <w:lang w:val="sr-Cyrl-RS"/>
        </w:rPr>
      </w:pPr>
      <w:r>
        <w:rPr>
          <w:rFonts w:ascii="Arial" w:hAnsi="Arial" w:eastAsia="Arial" w:cs="Arial"/>
          <w:i/>
          <w:lang w:val="sr-Cyrl-RS"/>
        </w:rPr>
        <w:t>Слика 2. Географска карта Заплања Општине Гаџин Хан</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66432" behindDoc="1" locked="0" layoutInCell="1" allowOverlap="1">
            <wp:simplePos x="0" y="0"/>
            <wp:positionH relativeFrom="column">
              <wp:posOffset>608965</wp:posOffset>
            </wp:positionH>
            <wp:positionV relativeFrom="paragraph">
              <wp:posOffset>6350</wp:posOffset>
            </wp:positionV>
            <wp:extent cx="4514215" cy="3992880"/>
            <wp:effectExtent l="0" t="0" r="0" b="0"/>
            <wp:wrapNone/>
            <wp:docPr id="539" name="Picture 143" descr="A map of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539" name="Picture 143" descr="A map of a mountain&#10;&#10;Description automatically generated"/>
                    <pic:cNvPicPr/>
                  </pic:nvPicPr>
                  <pic:blipFill>
                    <a:blip r:embed="rId9" cstate="email"/>
                    <a:srcRect/>
                    <a:stretch>
                      <a:fillRect/>
                    </a:stretch>
                  </pic:blipFill>
                  <pic:spPr>
                    <a:xfrm>
                      <a:off x="0" y="0"/>
                      <a:ext cx="4514215" cy="3992880"/>
                    </a:xfrm>
                    <a:prstGeom prst="rect">
                      <a:avLst/>
                    </a:prstGeom>
                    <a:noFill/>
                    <a:ln>
                      <a:noFill/>
                    </a:ln>
                  </pic:spPr>
                </pic:pic>
              </a:graphicData>
            </a:graphic>
          </wp:anchor>
        </w:drawing>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22" w:lineRule="exact"/>
        <w:rPr>
          <w:rFonts w:ascii="Arial" w:hAnsi="Arial" w:cs="Arial"/>
          <w:lang w:val="sr-Cyrl-RS"/>
        </w:rPr>
      </w:pPr>
    </w:p>
    <w:p>
      <w:pPr>
        <w:spacing w:line="0" w:lineRule="atLeast"/>
        <w:rPr>
          <w:rFonts w:ascii="Arial" w:hAnsi="Arial" w:eastAsia="Arial" w:cs="Arial"/>
          <w:i/>
          <w:vertAlign w:val="superscript"/>
          <w:lang w:val="sr-Cyrl-RS"/>
        </w:rPr>
      </w:pPr>
      <w:r>
        <w:rPr>
          <w:rFonts w:ascii="Arial" w:hAnsi="Arial" w:eastAsia="Arial" w:cs="Arial"/>
          <w:i/>
          <w:lang w:val="sr-Cyrl-RS"/>
        </w:rPr>
        <w:t>Извор: Гугл мапе (</w:t>
      </w:r>
      <w:r>
        <w:fldChar w:fldCharType="begin"/>
      </w:r>
      <w:r>
        <w:instrText xml:space="preserve"> HYPERLINK "https://www.google.rs/maps/place/Гаџин+Хан/@43.2305349,22.0131253,14z/data=!3m1!4b1!4m6!3m5!1s0x4755a6df1e1cf50d:0x2749e228c5c02ef2!8m2!3d43.2225918!4d22.0322398!16zL20vMGN5ZHI5?hl=sr&amp;entry=ttu" </w:instrText>
      </w:r>
      <w:r>
        <w:fldChar w:fldCharType="separate"/>
      </w:r>
      <w:r>
        <w:rPr>
          <w:rStyle w:val="17"/>
          <w:rFonts w:ascii="Arial" w:hAnsi="Arial" w:eastAsia="Arial" w:cs="Arial"/>
          <w:i/>
          <w:lang w:val="sr-Cyrl-RS"/>
        </w:rPr>
        <w:t>https://www.google.rs/maps/place/Гаџин+Хан/@43.2305349,22.0131253,14z/data=!3m1!4b1!4m6!3m5!1s0x4755a6df1e1cf50d:0x2749e228c5c02ef2!8m2!3d43.2225918!4d22.0322398!16zL20vMGN5ZHI5?hl=sr&amp;entry=ttu</w:t>
      </w:r>
      <w:r>
        <w:rPr>
          <w:rStyle w:val="17"/>
          <w:rFonts w:ascii="Arial" w:hAnsi="Arial" w:eastAsia="Arial" w:cs="Arial"/>
          <w:i/>
          <w:lang w:val="sr-Cyrl-RS"/>
        </w:rPr>
        <w:fldChar w:fldCharType="end"/>
      </w:r>
      <w:r>
        <w:rPr>
          <w:rFonts w:ascii="Arial" w:hAnsi="Arial" w:eastAsia="Arial" w:cs="Arial"/>
          <w:i/>
          <w:lang w:val="sr-Cyrl-RS"/>
        </w:rPr>
        <w:t xml:space="preserve">  )</w:t>
      </w:r>
    </w:p>
    <w:p>
      <w:pPr>
        <w:spacing w:line="275" w:lineRule="exact"/>
        <w:rPr>
          <w:rFonts w:ascii="Arial" w:hAnsi="Arial" w:cs="Arial"/>
          <w:lang w:val="sr-Cyrl-RS"/>
        </w:rPr>
      </w:pPr>
    </w:p>
    <w:p>
      <w:pPr>
        <w:spacing w:line="271" w:lineRule="auto"/>
        <w:ind w:right="20"/>
        <w:jc w:val="both"/>
        <w:rPr>
          <w:rFonts w:ascii="Arial" w:hAnsi="Arial" w:eastAsia="Arial" w:cs="Arial"/>
          <w:lang w:val="sr-Cyrl-RS"/>
        </w:rPr>
      </w:pPr>
      <w:r>
        <w:rPr>
          <w:rFonts w:ascii="Arial" w:hAnsi="Arial" w:eastAsia="Arial" w:cs="Arial"/>
          <w:lang w:val="sr-Cyrl-RS"/>
        </w:rPr>
        <w:t>Подручје Заплања је доста сиромашно водама. Велики је број планинских извора слабе јачине, а Средње и Горње Заплање је богатије водом од Доњег Заплања.</w:t>
      </w:r>
    </w:p>
    <w:p>
      <w:pPr>
        <w:spacing w:line="336" w:lineRule="exact"/>
        <w:rPr>
          <w:rFonts w:ascii="Arial" w:hAnsi="Arial" w:cs="Arial"/>
          <w:lang w:val="sr-Cyrl-RS"/>
        </w:rPr>
      </w:pPr>
    </w:p>
    <w:p>
      <w:pPr>
        <w:spacing w:line="275" w:lineRule="auto"/>
        <w:jc w:val="both"/>
        <w:rPr>
          <w:rFonts w:ascii="Arial" w:hAnsi="Arial" w:eastAsia="Arial" w:cs="Arial"/>
          <w:lang w:val="sr-Cyrl-RS"/>
        </w:rPr>
      </w:pPr>
      <w:r>
        <w:rPr>
          <w:rFonts w:ascii="Arial" w:hAnsi="Arial" w:eastAsia="Arial" w:cs="Arial"/>
          <w:lang w:val="sr-Cyrl-RS"/>
        </w:rPr>
        <w:t xml:space="preserve">Све заплањске реке и речице имају три правца тока. Највећи део заплањских река улива се у </w:t>
      </w:r>
      <w:r>
        <w:rPr>
          <w:rFonts w:ascii="Arial" w:hAnsi="Arial" w:eastAsia="Arial" w:cs="Arial"/>
          <w:b/>
          <w:i/>
          <w:lang w:val="sr-Cyrl-RS"/>
        </w:rPr>
        <w:t>Кутинску реку</w:t>
      </w:r>
      <w:r>
        <w:rPr>
          <w:rFonts w:ascii="Arial" w:hAnsi="Arial" w:eastAsia="Arial" w:cs="Arial"/>
          <w:lang w:val="sr-Cyrl-RS"/>
        </w:rPr>
        <w:t xml:space="preserve"> која се пробија између Суве планине с једне и Бабичке горе и Селичевице с друге стране и улива у Нишаву код Брзог Брода. Барбешка река опредељује други правац тока. Она сакупља воде: Влашке, Виландричке, Горњобарбешке и Доњобарбешке реке и код Топонице улива се у Јужну Мораву. Трећи правац кретања заплањских вода је преко Дрман реке, која сакупља воде у пределу Личја, Крчимира, а од Равне Дубраве као Млака река улива се у Пусту реку. На тај начин све заплањске воде одлазе у Јужну Мораву и припадају нишавском односно јужноморавском сливу.</w:t>
      </w:r>
    </w:p>
    <w:p>
      <w:pPr>
        <w:spacing w:line="275" w:lineRule="auto"/>
        <w:jc w:val="both"/>
        <w:rPr>
          <w:rFonts w:ascii="Arial" w:hAnsi="Arial" w:eastAsia="Arial" w:cs="Arial"/>
          <w:lang w:val="sr-Cyrl-RS"/>
        </w:rPr>
      </w:pPr>
    </w:p>
    <w:p>
      <w:pPr>
        <w:pStyle w:val="4"/>
        <w:rPr>
          <w:rFonts w:ascii="Arial" w:hAnsi="Arial" w:cs="Arial"/>
          <w:szCs w:val="24"/>
          <w:lang w:val="sr-Cyrl-RS"/>
        </w:rPr>
      </w:pPr>
      <w:bookmarkStart w:id="23" w:name="_Toc144818241"/>
      <w:bookmarkStart w:id="24" w:name="_Toc159226514"/>
      <w:r>
        <w:rPr>
          <w:rFonts w:ascii="Arial" w:hAnsi="Arial" w:cs="Arial"/>
          <w:szCs w:val="24"/>
          <w:lang w:val="sr-Cyrl-RS"/>
        </w:rPr>
        <w:t>Природни ресурси</w:t>
      </w:r>
      <w:bookmarkEnd w:id="23"/>
      <w:bookmarkEnd w:id="24"/>
    </w:p>
    <w:p>
      <w:pPr>
        <w:spacing w:line="273" w:lineRule="auto"/>
        <w:ind w:right="20"/>
        <w:jc w:val="both"/>
        <w:rPr>
          <w:rFonts w:ascii="Arial" w:hAnsi="Arial" w:eastAsia="Arial" w:cs="Arial"/>
          <w:lang w:val="sr-Cyrl-RS"/>
        </w:rPr>
      </w:pPr>
      <w:r>
        <w:rPr>
          <w:rFonts w:ascii="Arial" w:hAnsi="Arial" w:eastAsia="Arial" w:cs="Arial"/>
          <w:lang w:val="sr-Cyrl-RS"/>
        </w:rPr>
        <w:t xml:space="preserve">Специјални резерват природе „Сува планина“ налази се на територији Општине Нишка Бања, Гаџин Хан и Бела Паланка. Део подручја Суве планине у југоисточној Србији, стављен је под заштиту као </w:t>
      </w:r>
      <w:r>
        <w:rPr>
          <w:rFonts w:ascii="Arial" w:hAnsi="Arial" w:eastAsia="Arial" w:cs="Arial"/>
          <w:b/>
          <w:lang w:val="sr-Cyrl-RS"/>
        </w:rPr>
        <w:t>Специјални резерват природе „Сува планина“</w:t>
      </w:r>
      <w:r>
        <w:rPr>
          <w:rFonts w:ascii="Arial" w:hAnsi="Arial" w:eastAsia="Arial" w:cs="Arial"/>
          <w:lang w:val="sr-Cyrl-RS"/>
        </w:rPr>
        <w:t xml:space="preserve">, </w:t>
      </w:r>
      <w:r>
        <w:rPr>
          <w:rFonts w:ascii="Arial" w:hAnsi="Arial" w:eastAsia="Arial" w:cs="Arial"/>
          <w:b/>
          <w:lang w:val="sr-Cyrl-RS"/>
        </w:rPr>
        <w:t>I категорије</w:t>
      </w:r>
      <w:r>
        <w:rPr>
          <w:rFonts w:ascii="Arial" w:hAnsi="Arial" w:eastAsia="Arial" w:cs="Arial"/>
          <w:lang w:val="sr-Cyrl-RS"/>
        </w:rPr>
        <w:t xml:space="preserve"> и као подручје је од међународног и националног, односно изузетног значаја, а управљање се остварује преко Шумског газдинства „Ниш“ из Ниша.</w:t>
      </w:r>
    </w:p>
    <w:p>
      <w:pPr>
        <w:spacing w:line="273" w:lineRule="auto"/>
        <w:ind w:right="20"/>
        <w:jc w:val="both"/>
        <w:rPr>
          <w:rFonts w:ascii="Arial" w:hAnsi="Arial" w:eastAsia="Arial" w:cs="Arial"/>
          <w:lang w:val="sr-Cyrl-RS"/>
        </w:rPr>
      </w:pPr>
      <w:r>
        <w:rPr>
          <w:rFonts w:ascii="Arial" w:hAnsi="Arial" w:eastAsia="Arial" w:cs="Arial"/>
          <w:i/>
          <w:lang w:val="sr-Cyrl-RS"/>
        </w:rPr>
        <w:t>Слика 3. Сува Планина,</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83840" behindDoc="1" locked="0" layoutInCell="1" allowOverlap="1">
            <wp:simplePos x="0" y="0"/>
            <wp:positionH relativeFrom="column">
              <wp:posOffset>878205</wp:posOffset>
            </wp:positionH>
            <wp:positionV relativeFrom="paragraph">
              <wp:posOffset>6985</wp:posOffset>
            </wp:positionV>
            <wp:extent cx="3969385" cy="2236470"/>
            <wp:effectExtent l="0" t="0" r="0" b="0"/>
            <wp:wrapNone/>
            <wp:docPr id="528" name="Picture 137" descr="A group of people standing on a mountain top&#10;&#10;Description automatically generated"/>
            <wp:cNvGraphicFramePr/>
            <a:graphic xmlns:a="http://schemas.openxmlformats.org/drawingml/2006/main">
              <a:graphicData uri="http://schemas.openxmlformats.org/drawingml/2006/picture">
                <pic:pic xmlns:pic="http://schemas.openxmlformats.org/drawingml/2006/picture">
                  <pic:nvPicPr>
                    <pic:cNvPr id="528" name="Picture 137" descr="A group of people standing on a mountain top&#10;&#10;Description automatically generated"/>
                    <pic:cNvPicPr/>
                  </pic:nvPicPr>
                  <pic:blipFill>
                    <a:blip r:embed="rId10"/>
                    <a:srcRect/>
                    <a:stretch>
                      <a:fillRect/>
                    </a:stretch>
                  </pic:blipFill>
                  <pic:spPr>
                    <a:xfrm>
                      <a:off x="0" y="0"/>
                      <a:ext cx="3969385" cy="2236470"/>
                    </a:xfrm>
                    <a:prstGeom prst="rect">
                      <a:avLst/>
                    </a:prstGeom>
                    <a:noFill/>
                    <a:ln>
                      <a:noFill/>
                    </a:ln>
                  </pic:spPr>
                </pic:pic>
              </a:graphicData>
            </a:graphic>
          </wp:anchor>
        </w:drawing>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56" w:lineRule="exact"/>
        <w:rPr>
          <w:rFonts w:ascii="Arial" w:hAnsi="Arial" w:cs="Arial"/>
          <w:lang w:val="sr-Cyrl-RS"/>
        </w:rPr>
      </w:pPr>
    </w:p>
    <w:p>
      <w:pPr>
        <w:spacing w:line="0" w:lineRule="atLeast"/>
        <w:rPr>
          <w:rFonts w:ascii="Arial" w:hAnsi="Arial" w:eastAsia="Arial" w:cs="Arial"/>
          <w:i/>
          <w:lang w:val="sr-Cyrl-RS"/>
        </w:rPr>
      </w:pPr>
      <w:r>
        <w:rPr>
          <w:rFonts w:ascii="Arial" w:hAnsi="Arial" w:eastAsia="Arial" w:cs="Arial"/>
          <w:i/>
          <w:lang w:val="sr-Cyrl-RS"/>
        </w:rPr>
        <w:t>Извор: ТО Гаџин Хан</w:t>
      </w:r>
    </w:p>
    <w:p>
      <w:pPr>
        <w:spacing w:line="212" w:lineRule="exact"/>
        <w:rPr>
          <w:rFonts w:ascii="Arial" w:hAnsi="Arial" w:cs="Arial"/>
          <w:lang w:val="sr-Cyrl-RS"/>
        </w:rPr>
      </w:pPr>
    </w:p>
    <w:p>
      <w:pPr>
        <w:spacing w:line="274" w:lineRule="auto"/>
        <w:jc w:val="both"/>
        <w:rPr>
          <w:rFonts w:ascii="Arial" w:hAnsi="Arial" w:eastAsia="Arial" w:cs="Arial"/>
          <w:vertAlign w:val="superscript"/>
          <w:lang w:val="sr-Cyrl-RS"/>
        </w:rPr>
      </w:pPr>
      <w:r>
        <w:rPr>
          <w:rFonts w:ascii="Arial" w:hAnsi="Arial" w:eastAsia="Arial" w:cs="Arial"/>
          <w:lang w:val="sr-Cyrl-RS"/>
        </w:rPr>
        <w:t xml:space="preserve">Положај Суве планине је у средишту Балканског полуострва, на граници између источне и западне мезијске провинције. Разуђеност терена, надморска висина и историјски развој флоре и вегетације, утицали су битно на флористички и вегетацијски диверзитет Суве планине. Највиши врхови Суве планине су: </w:t>
      </w:r>
      <w:r>
        <w:rPr>
          <w:rFonts w:ascii="Arial" w:hAnsi="Arial" w:eastAsia="Arial" w:cs="Arial"/>
          <w:b/>
          <w:lang w:val="sr-Cyrl-RS"/>
        </w:rPr>
        <w:t>Трем</w:t>
      </w:r>
      <w:r>
        <w:rPr>
          <w:rFonts w:ascii="Arial" w:hAnsi="Arial" w:eastAsia="Arial" w:cs="Arial"/>
          <w:lang w:val="sr-Cyrl-RS"/>
        </w:rPr>
        <w:t xml:space="preserve"> (1.810 м), Ђорђина чука (1.735 м), Големо Стражиште (1.714 м), Литица (1.683 м), Дебелац (1.671 м), Соколов камен (1.523 м) и Мосор (984 м).</w:t>
      </w:r>
      <w:r>
        <w:rPr>
          <w:rFonts w:ascii="Arial" w:hAnsi="Arial" w:eastAsia="Arial" w:cs="Arial"/>
          <w:vertAlign w:val="superscript"/>
          <w:lang w:val="sr-Cyrl-RS"/>
        </w:rPr>
        <w:t>4</w:t>
      </w:r>
    </w:p>
    <w:p>
      <w:pPr>
        <w:spacing w:line="225" w:lineRule="exact"/>
        <w:rPr>
          <w:rFonts w:ascii="Arial" w:hAnsi="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Облик јој подсећа на џиновску потковицу с подужим кљуном. На свом северозападном крају, она се расклапа у два крака који и чине тај потковички облик. Трем као највиши врх Суве планине уједно је и најпосећенији планински врх у Србији који годишње посети неколико хиљада планинара и заљубљеника</w:t>
      </w:r>
    </w:p>
    <w:p>
      <w:pPr>
        <w:spacing w:line="15" w:lineRule="exact"/>
        <w:rPr>
          <w:rFonts w:ascii="Arial" w:hAnsi="Arial" w:cs="Arial"/>
          <w:lang w:val="sr-Cyrl-RS"/>
        </w:rPr>
      </w:pPr>
    </w:p>
    <w:p>
      <w:pPr>
        <w:numPr>
          <w:ilvl w:val="0"/>
          <w:numId w:val="8"/>
        </w:numPr>
        <w:tabs>
          <w:tab w:val="left" w:pos="205"/>
        </w:tabs>
        <w:spacing w:line="268" w:lineRule="auto"/>
        <w:ind w:right="20" w:firstLine="1"/>
        <w:rPr>
          <w:rFonts w:ascii="Arial" w:hAnsi="Arial" w:eastAsia="Arial" w:cs="Arial"/>
          <w:lang w:val="sr-Cyrl-RS"/>
        </w:rPr>
      </w:pPr>
      <w:r>
        <w:rPr>
          <w:rFonts w:ascii="Arial" w:hAnsi="Arial" w:eastAsia="Arial" w:cs="Arial"/>
          <w:lang w:val="sr-Cyrl-RS"/>
        </w:rPr>
        <w:t xml:space="preserve">природу. У подножју планине доминирају села Горњи и Доњи Душник, права </w:t>
      </w:r>
      <w:r>
        <w:rPr>
          <w:rFonts w:ascii="Arial" w:hAnsi="Arial" w:eastAsia="Arial" w:cs="Arial"/>
          <w:b/>
          <w:lang w:val="sr-Cyrl-RS"/>
        </w:rPr>
        <w:t>ваздушна бања</w:t>
      </w:r>
      <w:r>
        <w:rPr>
          <w:rFonts w:ascii="Arial" w:hAnsi="Arial" w:eastAsia="Arial" w:cs="Arial"/>
          <w:lang w:val="sr-Cyrl-RS"/>
        </w:rPr>
        <w:t xml:space="preserve"> на регионалном путу.</w:t>
      </w:r>
    </w:p>
    <w:p>
      <w:pPr>
        <w:spacing w:line="237" w:lineRule="auto"/>
        <w:rPr>
          <w:rFonts w:ascii="Arial" w:hAnsi="Arial" w:eastAsia="Arial" w:cs="Arial"/>
          <w:i/>
          <w:lang w:val="sr-Cyrl-RS"/>
        </w:rPr>
      </w:pPr>
    </w:p>
    <w:p>
      <w:pPr>
        <w:spacing w:line="237" w:lineRule="auto"/>
        <w:rPr>
          <w:rFonts w:ascii="Arial" w:hAnsi="Arial" w:eastAsia="Arial" w:cs="Arial"/>
          <w:i/>
          <w:lang w:val="sr-Cyrl-RS"/>
        </w:rPr>
      </w:pPr>
      <w:r>
        <w:rPr>
          <w:rFonts w:ascii="Arial" w:hAnsi="Arial" w:eastAsia="Arial" w:cs="Arial"/>
          <w:i/>
          <w:lang w:val="sr-Cyrl-RS"/>
        </w:rPr>
        <w:t>Табела 1. Највиши планински врхови Заплања</w:t>
      </w:r>
    </w:p>
    <w:tbl>
      <w:tblPr>
        <w:tblStyle w:val="6"/>
        <w:tblW w:w="0" w:type="auto"/>
        <w:tblInd w:w="10" w:type="dxa"/>
        <w:tblLayout w:type="fixed"/>
        <w:tblCellMar>
          <w:top w:w="0" w:type="dxa"/>
          <w:left w:w="0" w:type="dxa"/>
          <w:bottom w:w="0" w:type="dxa"/>
          <w:right w:w="0" w:type="dxa"/>
        </w:tblCellMar>
      </w:tblPr>
      <w:tblGrid>
        <w:gridCol w:w="3020"/>
        <w:gridCol w:w="3020"/>
        <w:gridCol w:w="3020"/>
      </w:tblGrid>
      <w:tr>
        <w:tblPrEx>
          <w:tblCellMar>
            <w:top w:w="0" w:type="dxa"/>
            <w:left w:w="0" w:type="dxa"/>
            <w:bottom w:w="0" w:type="dxa"/>
            <w:right w:w="0" w:type="dxa"/>
          </w:tblCellMar>
        </w:tblPrEx>
        <w:trPr>
          <w:trHeight w:val="285" w:hRule="atLeast"/>
        </w:trPr>
        <w:tc>
          <w:tcPr>
            <w:tcW w:w="3020" w:type="dxa"/>
            <w:tcBorders>
              <w:top w:val="single" w:color="auto" w:sz="8" w:space="0"/>
              <w:left w:val="single" w:color="auto" w:sz="8" w:space="0"/>
              <w:right w:val="single" w:color="auto" w:sz="8" w:space="0"/>
            </w:tcBorders>
            <w:shd w:val="clear" w:color="auto" w:fill="D9D9D9"/>
            <w:vAlign w:val="bottom"/>
          </w:tcPr>
          <w:p>
            <w:pPr>
              <w:spacing w:line="0" w:lineRule="atLeast"/>
              <w:ind w:left="120"/>
              <w:rPr>
                <w:rFonts w:ascii="Arial" w:hAnsi="Arial" w:eastAsia="Arial" w:cs="Arial"/>
                <w:b/>
                <w:lang w:val="sr-Cyrl-RS"/>
              </w:rPr>
            </w:pPr>
            <w:r>
              <w:rPr>
                <w:rFonts w:ascii="Arial" w:hAnsi="Arial" w:eastAsia="Arial" w:cs="Arial"/>
                <w:b/>
                <w:lang w:val="sr-Cyrl-RS"/>
              </w:rPr>
              <w:t>Планине</w:t>
            </w:r>
          </w:p>
        </w:tc>
        <w:tc>
          <w:tcPr>
            <w:tcW w:w="3020" w:type="dxa"/>
            <w:tcBorders>
              <w:top w:val="single" w:color="auto" w:sz="8" w:space="0"/>
              <w:right w:val="single" w:color="auto" w:sz="8" w:space="0"/>
            </w:tcBorders>
            <w:shd w:val="clear" w:color="auto" w:fill="D9D9D9"/>
            <w:vAlign w:val="bottom"/>
          </w:tcPr>
          <w:p>
            <w:pPr>
              <w:spacing w:line="0" w:lineRule="atLeast"/>
              <w:ind w:left="100"/>
              <w:rPr>
                <w:rFonts w:ascii="Arial" w:hAnsi="Arial" w:eastAsia="Arial" w:cs="Arial"/>
                <w:b/>
                <w:lang w:val="sr-Cyrl-RS"/>
              </w:rPr>
            </w:pPr>
            <w:r>
              <w:rPr>
                <w:rFonts w:ascii="Arial" w:hAnsi="Arial" w:eastAsia="Arial" w:cs="Arial"/>
                <w:b/>
                <w:lang w:val="sr-Cyrl-RS"/>
              </w:rPr>
              <w:t>Надморска висина</w:t>
            </w:r>
          </w:p>
        </w:tc>
        <w:tc>
          <w:tcPr>
            <w:tcW w:w="3020" w:type="dxa"/>
            <w:tcBorders>
              <w:top w:val="single" w:color="auto" w:sz="8" w:space="0"/>
              <w:right w:val="single" w:color="auto" w:sz="8" w:space="0"/>
            </w:tcBorders>
            <w:shd w:val="clear" w:color="auto" w:fill="D9D9D9"/>
            <w:vAlign w:val="bottom"/>
          </w:tcPr>
          <w:p>
            <w:pPr>
              <w:spacing w:line="0" w:lineRule="atLeast"/>
              <w:ind w:left="80"/>
              <w:rPr>
                <w:rFonts w:ascii="Arial" w:hAnsi="Arial" w:eastAsia="Arial" w:cs="Arial"/>
                <w:b/>
                <w:lang w:val="sr-Cyrl-RS"/>
              </w:rPr>
            </w:pPr>
            <w:r>
              <w:rPr>
                <w:rFonts w:ascii="Arial" w:hAnsi="Arial" w:eastAsia="Arial" w:cs="Arial"/>
                <w:b/>
                <w:lang w:val="sr-Cyrl-RS"/>
              </w:rPr>
              <w:t>Највиши врх</w:t>
            </w:r>
          </w:p>
        </w:tc>
      </w:tr>
      <w:tr>
        <w:tblPrEx>
          <w:tblCellMar>
            <w:top w:w="0" w:type="dxa"/>
            <w:left w:w="0" w:type="dxa"/>
            <w:bottom w:w="0" w:type="dxa"/>
            <w:right w:w="0" w:type="dxa"/>
          </w:tblCellMar>
        </w:tblPrEx>
        <w:trPr>
          <w:trHeight w:val="45" w:hRule="atLeast"/>
        </w:trPr>
        <w:tc>
          <w:tcPr>
            <w:tcW w:w="302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3020" w:type="dxa"/>
            <w:tcBorders>
              <w:left w:val="single" w:color="auto" w:sz="8" w:space="0"/>
              <w:right w:val="single" w:color="auto" w:sz="8" w:space="0"/>
            </w:tcBorders>
            <w:shd w:val="clear" w:color="auto" w:fill="auto"/>
            <w:vAlign w:val="bottom"/>
          </w:tcPr>
          <w:p>
            <w:pPr>
              <w:spacing w:line="265" w:lineRule="exact"/>
              <w:ind w:left="120"/>
              <w:rPr>
                <w:rFonts w:ascii="Arial" w:hAnsi="Arial" w:eastAsia="Arial" w:cs="Arial"/>
                <w:lang w:val="sr-Cyrl-RS"/>
              </w:rPr>
            </w:pPr>
            <w:r>
              <w:rPr>
                <w:rFonts w:ascii="Arial" w:hAnsi="Arial" w:eastAsia="Arial" w:cs="Arial"/>
                <w:lang w:val="sr-Cyrl-RS"/>
              </w:rPr>
              <w:t>Селичевица</w:t>
            </w:r>
          </w:p>
        </w:tc>
        <w:tc>
          <w:tcPr>
            <w:tcW w:w="3020" w:type="dxa"/>
            <w:tcBorders>
              <w:right w:val="single" w:color="auto"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350 m па до 902 m</w:t>
            </w:r>
          </w:p>
        </w:tc>
        <w:tc>
          <w:tcPr>
            <w:tcW w:w="3020" w:type="dxa"/>
            <w:tcBorders>
              <w:right w:val="single" w:color="auto" w:sz="8" w:space="0"/>
            </w:tcBorders>
            <w:shd w:val="clear" w:color="auto" w:fill="auto"/>
            <w:vAlign w:val="bottom"/>
          </w:tcPr>
          <w:p>
            <w:pPr>
              <w:spacing w:line="265" w:lineRule="exact"/>
              <w:ind w:left="80"/>
              <w:rPr>
                <w:rFonts w:ascii="Arial" w:hAnsi="Arial" w:eastAsia="Arial" w:cs="Arial"/>
                <w:lang w:val="sr-Cyrl-RS"/>
              </w:rPr>
            </w:pPr>
            <w:r>
              <w:rPr>
                <w:rFonts w:ascii="Arial" w:hAnsi="Arial" w:eastAsia="Arial" w:cs="Arial"/>
                <w:lang w:val="sr-Cyrl-RS"/>
              </w:rPr>
              <w:t>Ибровица</w:t>
            </w:r>
          </w:p>
        </w:tc>
      </w:tr>
      <w:tr>
        <w:tblPrEx>
          <w:tblCellMar>
            <w:top w:w="0" w:type="dxa"/>
            <w:left w:w="0" w:type="dxa"/>
            <w:bottom w:w="0" w:type="dxa"/>
            <w:right w:w="0" w:type="dxa"/>
          </w:tblCellMar>
        </w:tblPrEx>
        <w:trPr>
          <w:trHeight w:val="40" w:hRule="atLeast"/>
        </w:trPr>
        <w:tc>
          <w:tcPr>
            <w:tcW w:w="302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3020" w:type="dxa"/>
            <w:tcBorders>
              <w:left w:val="single" w:color="auto" w:sz="8" w:space="0"/>
              <w:right w:val="single" w:color="auto" w:sz="8" w:space="0"/>
            </w:tcBorders>
            <w:shd w:val="clear" w:color="auto" w:fill="auto"/>
            <w:vAlign w:val="bottom"/>
          </w:tcPr>
          <w:p>
            <w:pPr>
              <w:spacing w:line="265" w:lineRule="exact"/>
              <w:ind w:left="120"/>
              <w:rPr>
                <w:rFonts w:ascii="Arial" w:hAnsi="Arial" w:eastAsia="Arial" w:cs="Arial"/>
                <w:lang w:val="sr-Cyrl-RS"/>
              </w:rPr>
            </w:pPr>
            <w:r>
              <w:rPr>
                <w:rFonts w:ascii="Arial" w:hAnsi="Arial" w:eastAsia="Arial" w:cs="Arial"/>
                <w:lang w:val="sr-Cyrl-RS"/>
              </w:rPr>
              <w:t>Бабичка Гора</w:t>
            </w:r>
          </w:p>
        </w:tc>
        <w:tc>
          <w:tcPr>
            <w:tcW w:w="3020" w:type="dxa"/>
            <w:tcBorders>
              <w:right w:val="single" w:color="auto"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300</w:t>
            </w:r>
            <w:r>
              <w:rPr>
                <w:rFonts w:ascii="Arial" w:hAnsi="Arial" w:cs="Arial"/>
                <w:lang w:val="sr-Cyrl-RS"/>
              </w:rPr>
              <w:t xml:space="preserve"> </w:t>
            </w:r>
            <w:r>
              <w:rPr>
                <w:rFonts w:ascii="Arial" w:hAnsi="Arial" w:eastAsia="Arial" w:cs="Arial"/>
                <w:lang w:val="sr-Cyrl-RS"/>
              </w:rPr>
              <w:t>m па до 1057 m</w:t>
            </w:r>
          </w:p>
        </w:tc>
        <w:tc>
          <w:tcPr>
            <w:tcW w:w="3020" w:type="dxa"/>
            <w:tcBorders>
              <w:right w:val="single" w:color="auto" w:sz="8" w:space="0"/>
            </w:tcBorders>
            <w:shd w:val="clear" w:color="auto" w:fill="auto"/>
            <w:vAlign w:val="bottom"/>
          </w:tcPr>
          <w:p>
            <w:pPr>
              <w:spacing w:line="265" w:lineRule="exact"/>
              <w:ind w:left="80"/>
              <w:rPr>
                <w:rFonts w:ascii="Arial" w:hAnsi="Arial" w:eastAsia="Arial" w:cs="Arial"/>
                <w:lang w:val="sr-Cyrl-RS"/>
              </w:rPr>
            </w:pPr>
            <w:r>
              <w:rPr>
                <w:rFonts w:ascii="Arial" w:hAnsi="Arial" w:eastAsia="Arial" w:cs="Arial"/>
                <w:lang w:val="sr-Cyrl-RS"/>
              </w:rPr>
              <w:t>Крива Бука</w:t>
            </w:r>
          </w:p>
        </w:tc>
      </w:tr>
      <w:tr>
        <w:tblPrEx>
          <w:tblCellMar>
            <w:top w:w="0" w:type="dxa"/>
            <w:left w:w="0" w:type="dxa"/>
            <w:bottom w:w="0" w:type="dxa"/>
            <w:right w:w="0" w:type="dxa"/>
          </w:tblCellMar>
        </w:tblPrEx>
        <w:trPr>
          <w:trHeight w:val="45" w:hRule="atLeast"/>
        </w:trPr>
        <w:tc>
          <w:tcPr>
            <w:tcW w:w="302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3020" w:type="dxa"/>
            <w:tcBorders>
              <w:left w:val="single" w:color="auto" w:sz="8" w:space="0"/>
              <w:right w:val="single" w:color="auto" w:sz="8" w:space="0"/>
            </w:tcBorders>
            <w:shd w:val="clear" w:color="auto" w:fill="auto"/>
            <w:vAlign w:val="bottom"/>
          </w:tcPr>
          <w:p>
            <w:pPr>
              <w:spacing w:line="265" w:lineRule="exact"/>
              <w:ind w:left="120"/>
              <w:rPr>
                <w:rFonts w:ascii="Arial" w:hAnsi="Arial" w:eastAsia="Arial" w:cs="Arial"/>
                <w:lang w:val="sr-Cyrl-RS"/>
              </w:rPr>
            </w:pPr>
            <w:r>
              <w:rPr>
                <w:rFonts w:ascii="Arial" w:hAnsi="Arial" w:eastAsia="Arial" w:cs="Arial"/>
                <w:lang w:val="sr-Cyrl-RS"/>
              </w:rPr>
              <w:t>Сува Планина</w:t>
            </w:r>
          </w:p>
        </w:tc>
        <w:tc>
          <w:tcPr>
            <w:tcW w:w="3020" w:type="dxa"/>
            <w:tcBorders>
              <w:right w:val="single" w:color="auto"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Од 800 m па до 1810 m</w:t>
            </w:r>
          </w:p>
        </w:tc>
        <w:tc>
          <w:tcPr>
            <w:tcW w:w="3020" w:type="dxa"/>
            <w:tcBorders>
              <w:right w:val="single" w:color="auto" w:sz="8" w:space="0"/>
            </w:tcBorders>
            <w:shd w:val="clear" w:color="auto" w:fill="auto"/>
            <w:vAlign w:val="bottom"/>
          </w:tcPr>
          <w:p>
            <w:pPr>
              <w:spacing w:line="265" w:lineRule="exact"/>
              <w:ind w:left="80"/>
              <w:rPr>
                <w:rFonts w:ascii="Arial" w:hAnsi="Arial" w:eastAsia="Arial" w:cs="Arial"/>
                <w:lang w:val="sr-Cyrl-RS"/>
              </w:rPr>
            </w:pPr>
            <w:r>
              <w:rPr>
                <w:rFonts w:ascii="Arial" w:hAnsi="Arial" w:eastAsia="Arial" w:cs="Arial"/>
                <w:lang w:val="sr-Cyrl-RS"/>
              </w:rPr>
              <w:t>Трем</w:t>
            </w:r>
          </w:p>
        </w:tc>
      </w:tr>
      <w:tr>
        <w:tblPrEx>
          <w:tblCellMar>
            <w:top w:w="0" w:type="dxa"/>
            <w:left w:w="0" w:type="dxa"/>
            <w:bottom w:w="0" w:type="dxa"/>
            <w:right w:w="0" w:type="dxa"/>
          </w:tblCellMar>
        </w:tblPrEx>
        <w:trPr>
          <w:trHeight w:val="40" w:hRule="atLeast"/>
        </w:trPr>
        <w:tc>
          <w:tcPr>
            <w:tcW w:w="302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c>
          <w:tcPr>
            <w:tcW w:w="3020" w:type="dxa"/>
            <w:tcBorders>
              <w:bottom w:val="single" w:color="auto" w:sz="8" w:space="0"/>
              <w:right w:val="single" w:color="auto" w:sz="8" w:space="0"/>
            </w:tcBorders>
            <w:shd w:val="clear" w:color="auto" w:fill="auto"/>
            <w:vAlign w:val="bottom"/>
          </w:tcPr>
          <w:p>
            <w:pPr>
              <w:spacing w:line="0" w:lineRule="atLeast"/>
              <w:rPr>
                <w:rFonts w:ascii="Arial" w:hAnsi="Arial" w:cs="Arial"/>
                <w:lang w:val="sr-Cyrl-RS"/>
              </w:rPr>
            </w:pPr>
          </w:p>
        </w:tc>
      </w:tr>
    </w:tbl>
    <w:p>
      <w:pPr>
        <w:spacing w:line="237" w:lineRule="auto"/>
        <w:rPr>
          <w:rFonts w:ascii="Arial" w:hAnsi="Arial" w:eastAsia="Arial" w:cs="Arial"/>
          <w:i/>
          <w:lang w:val="sr-Cyrl-RS"/>
        </w:rPr>
      </w:pPr>
      <w:r>
        <w:rPr>
          <w:rFonts w:ascii="Arial" w:hAnsi="Arial" w:eastAsia="Arial" w:cs="Arial"/>
          <w:i/>
          <w:lang w:val="sr-Cyrl-RS"/>
        </w:rPr>
        <w:t>Извор: ТО Гаџин Хан</w:t>
      </w:r>
    </w:p>
    <w:p>
      <w:pPr>
        <w:spacing w:line="20" w:lineRule="exact"/>
        <w:rPr>
          <w:rFonts w:ascii="Arial" w:hAnsi="Arial" w:cs="Arial"/>
          <w:lang w:val="sr-Cyrl-RS"/>
        </w:rPr>
      </w:pPr>
      <w:r>
        <w:rPr>
          <w:rFonts w:ascii="Arial" w:hAnsi="Arial" w:cs="Arial"/>
          <w:lang w:eastAsia="en-US"/>
        </w:rPr>
        <mc:AlternateContent>
          <mc:Choice Requires="wps">
            <w:drawing>
              <wp:anchor distT="0" distB="0" distL="114300" distR="114300" simplePos="0" relativeHeight="251684864" behindDoc="1" locked="0" layoutInCell="1" allowOverlap="1">
                <wp:simplePos x="0" y="0"/>
                <wp:positionH relativeFrom="column">
                  <wp:posOffset>0</wp:posOffset>
                </wp:positionH>
                <wp:positionV relativeFrom="paragraph">
                  <wp:posOffset>264795</wp:posOffset>
                </wp:positionV>
                <wp:extent cx="1830070" cy="0"/>
                <wp:effectExtent l="0" t="0" r="0" b="0"/>
                <wp:wrapNone/>
                <wp:docPr id="955074436" name="Straight Connector 52"/>
                <wp:cNvGraphicFramePr/>
                <a:graphic xmlns:a="http://schemas.openxmlformats.org/drawingml/2006/main">
                  <a:graphicData uri="http://schemas.microsoft.com/office/word/2010/wordprocessingShape">
                    <wps:wsp>
                      <wps:cNvCnPr/>
                      <wps:spPr bwMode="auto">
                        <a:xfrm>
                          <a:off x="0" y="0"/>
                          <a:ext cx="1830070" cy="0"/>
                        </a:xfrm>
                        <a:prstGeom prst="line">
                          <a:avLst/>
                        </a:prstGeom>
                        <a:noFill/>
                        <a:ln w="6350">
                          <a:solidFill>
                            <a:srgbClr val="000000"/>
                          </a:solidFill>
                          <a:round/>
                        </a:ln>
                      </wps:spPr>
                      <wps:bodyPr/>
                    </wps:wsp>
                  </a:graphicData>
                </a:graphic>
              </wp:anchor>
            </w:drawing>
          </mc:Choice>
          <mc:Fallback>
            <w:pict>
              <v:line id="Straight Connector 52" o:spid="_x0000_s1026" o:spt="20" style="position:absolute;left:0pt;margin-left:0pt;margin-top:20.85pt;height:0pt;width:144.1pt;z-index:-251631616;mso-width-relative:page;mso-height-relative:page;" filled="f" stroked="t" coordsize="21600,21600" o:gfxdata="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67q2x0wAAAAYBAAAPAAAAAAAAAAEAIAAAACIAAABkcnMvZG93bnJldi54bWxQSwEC&#10;FAAUAAAACACHTuJAlcrlS8ABAACEAwAADgAAAAAAAAABACAAAAAiAQAAZHJzL2Uyb0RvYy54bWxQ&#10;SwUGAAAAAAYABgBZAQAAVAUAAAAA&#10;">
                <v:fill on="f" focussize="0,0"/>
                <v:stroke weight="0.5pt" color="#000000" joinstyle="round"/>
                <v:imagedata o:title=""/>
                <o:lock v:ext="edit" aspectratio="f"/>
              </v:line>
            </w:pict>
          </mc:Fallback>
        </mc:AlternateContent>
      </w:r>
    </w:p>
    <w:p>
      <w:pPr>
        <w:spacing w:line="200" w:lineRule="exact"/>
        <w:rPr>
          <w:rFonts w:ascii="Arial" w:hAnsi="Arial" w:cs="Arial"/>
          <w:lang w:val="sr-Cyrl-RS"/>
        </w:rPr>
      </w:pPr>
    </w:p>
    <w:p>
      <w:pPr>
        <w:spacing w:line="315" w:lineRule="exact"/>
        <w:rPr>
          <w:rFonts w:ascii="Arial" w:hAnsi="Arial" w:cs="Arial"/>
          <w:lang w:val="sr-Cyrl-RS"/>
        </w:rPr>
      </w:pPr>
    </w:p>
    <w:p>
      <w:pPr>
        <w:numPr>
          <w:ilvl w:val="0"/>
          <w:numId w:val="9"/>
        </w:numPr>
        <w:tabs>
          <w:tab w:val="left" w:pos="115"/>
        </w:tabs>
        <w:spacing w:line="204" w:lineRule="auto"/>
        <w:ind w:right="1480" w:firstLine="1"/>
        <w:rPr>
          <w:rFonts w:ascii="Arial" w:hAnsi="Arial" w:cs="Arial"/>
          <w:color w:val="0000FF"/>
          <w:u w:val="single"/>
          <w:lang w:val="sr-Cyrl-RS"/>
        </w:rPr>
      </w:pPr>
      <w:r>
        <w:rPr>
          <w:rFonts w:ascii="Arial" w:hAnsi="Arial" w:cs="Arial"/>
          <w:lang w:val="sr-Cyrl-RS"/>
        </w:rPr>
        <w:t>Јавно прдузеће „Србијашуме“,</w:t>
      </w:r>
      <w:r>
        <w:rPr>
          <w:rFonts w:ascii="Arial" w:hAnsi="Arial" w:cs="Arial"/>
          <w:color w:val="0000FF"/>
          <w:lang w:val="sr-Cyrl-RS"/>
        </w:rPr>
        <w:t xml:space="preserve"> </w:t>
      </w:r>
      <w:r>
        <w:fldChar w:fldCharType="begin"/>
      </w:r>
      <w:r>
        <w:instrText xml:space="preserve"> HYPERLINK "https://srbijasume.rs/zasticena-podrucja/pregled-zasticenih-podrucja/specijalni-rezervati-prirode/" </w:instrText>
      </w:r>
      <w:r>
        <w:fldChar w:fldCharType="separate"/>
      </w:r>
      <w:r>
        <w:rPr>
          <w:rFonts w:ascii="Arial" w:hAnsi="Arial" w:cs="Arial"/>
          <w:color w:val="0000FF"/>
          <w:u w:val="single"/>
          <w:lang w:val="sr-Cyrl-RS"/>
        </w:rPr>
        <w:t>https://srbijasume.rs/zasticena-podrucja/pregled-zasticenih-</w:t>
      </w:r>
      <w:r>
        <w:rPr>
          <w:rFonts w:ascii="Arial" w:hAnsi="Arial" w:cs="Arial"/>
          <w:color w:val="0000FF"/>
          <w:u w:val="single"/>
          <w:lang w:val="sr-Cyrl-RS"/>
        </w:rPr>
        <w:fldChar w:fldCharType="end"/>
      </w:r>
      <w:r>
        <w:fldChar w:fldCharType="begin"/>
      </w:r>
      <w:r>
        <w:instrText xml:space="preserve"> HYPERLINK "https://srbijasume.rs/zasticena-podrucja/pregled-zasticenih-podrucja/specijalni-rezervati-prirode/" </w:instrText>
      </w:r>
      <w:r>
        <w:fldChar w:fldCharType="separate"/>
      </w:r>
      <w:r>
        <w:rPr>
          <w:rFonts w:ascii="Arial" w:hAnsi="Arial" w:cs="Arial"/>
          <w:color w:val="0000FF"/>
          <w:u w:val="single"/>
          <w:lang w:val="sr-Cyrl-RS"/>
        </w:rPr>
        <w:t>podrucja/specijalni-rezervati-prirode/</w:t>
      </w:r>
      <w:r>
        <w:rPr>
          <w:rFonts w:ascii="Arial" w:hAnsi="Arial" w:cs="Arial"/>
          <w:color w:val="0000FF"/>
          <w:u w:val="single"/>
          <w:lang w:val="sr-Cyrl-RS"/>
        </w:rPr>
        <w:fldChar w:fldCharType="end"/>
      </w:r>
    </w:p>
    <w:p>
      <w:pPr>
        <w:spacing w:line="0" w:lineRule="atLeast"/>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74" w:lineRule="auto"/>
        <w:jc w:val="both"/>
        <w:rPr>
          <w:rFonts w:ascii="Arial" w:hAnsi="Arial" w:eastAsia="Arial" w:cs="Arial"/>
          <w:lang w:val="sr-Cyrl-RS"/>
        </w:rPr>
      </w:pPr>
      <w:bookmarkStart w:id="25" w:name="page16"/>
      <w:bookmarkEnd w:id="25"/>
      <w:r>
        <w:rPr>
          <w:rFonts w:ascii="Arial" w:hAnsi="Arial" w:eastAsia="Arial" w:cs="Arial"/>
          <w:lang w:val="sr-Cyrl-RS"/>
        </w:rPr>
        <w:t>Селичевица је шумовита планина које се налази између села Гаџиног Хана, Дољевца и Ниша. Ова планина је обрасла шумом у којима преовладава храст, буква, леска и друго др. До врха Ибровица може се доћи из села Гркиња, Горњег Барбеша, Виландрице и Тасковића. Редовно се организују успони планинара и љубитеља природе, као и едукације намењене деци. Један од програма који се изводи на овој планини значајној за развој туризма Гaџиног Хана је и вожња џиповима 4x4, а на планини се налази објекат у власништву „Србијашумe“ који може бити део туристичке понуде за туризам специјалних интереса лов, сакупљање печурака и лековитог биља.</w:t>
      </w:r>
    </w:p>
    <w:p>
      <w:pPr>
        <w:spacing w:line="340" w:lineRule="exact"/>
        <w:rPr>
          <w:rFonts w:ascii="Arial" w:hAnsi="Arial" w:cs="Arial"/>
          <w:lang w:val="sr-Cyrl-RS"/>
        </w:rPr>
      </w:pPr>
    </w:p>
    <w:p>
      <w:pPr>
        <w:spacing w:line="274" w:lineRule="auto"/>
        <w:ind w:right="20"/>
        <w:jc w:val="both"/>
        <w:rPr>
          <w:rFonts w:ascii="Arial" w:hAnsi="Arial" w:eastAsia="Arial" w:cs="Arial"/>
          <w:lang w:val="sr-Cyrl-RS"/>
        </w:rPr>
      </w:pPr>
      <w:r>
        <w:rPr>
          <w:rFonts w:ascii="Arial" w:hAnsi="Arial" w:eastAsia="Arial" w:cs="Arial"/>
          <w:lang w:val="sr-Cyrl-RS"/>
        </w:rPr>
        <w:t>Још једна природна атракција је и планина Бабичка гора које се простире само малим североисточним и северним делом преко територије Заплања. На подручју Заплања њени огранци допиру до Кутинске реке на североистоку, а на северу до долине Барбешке реке. На западној страни Бабичка гора се спушта у Лесковачко Поморавље, а са југа ову планину од Чемерника јасно одваја Власина и Лужница. Једино огранци Бабичке горе код Доњег Драговља допиру до огранака Суве планине, мада и у том делу Кутинска река дели ове планине.</w:t>
      </w:r>
    </w:p>
    <w:p>
      <w:pPr>
        <w:spacing w:line="335" w:lineRule="exact"/>
        <w:rPr>
          <w:rFonts w:ascii="Arial" w:hAnsi="Arial" w:cs="Arial"/>
          <w:lang w:val="sr-Cyrl-RS"/>
        </w:rPr>
      </w:pPr>
    </w:p>
    <w:p>
      <w:pPr>
        <w:spacing w:line="269" w:lineRule="auto"/>
        <w:ind w:right="20"/>
        <w:jc w:val="both"/>
        <w:rPr>
          <w:rFonts w:ascii="Arial" w:hAnsi="Arial" w:eastAsia="Arial" w:cs="Arial"/>
          <w:lang w:val="sr-Cyrl-RS"/>
        </w:rPr>
      </w:pPr>
      <w:r>
        <w:rPr>
          <w:rFonts w:ascii="Arial" w:hAnsi="Arial" w:eastAsia="Arial" w:cs="Arial"/>
          <w:lang w:val="sr-Cyrl-RS"/>
        </w:rPr>
        <w:t>Излетиште Ропот добило је име по истоименој реци која представља редак природни феномен. Ова река формира прелепе каскаде, слапове и мање водопаде. У близини корита реке налази се неколико мањих јама и поткапина.</w:t>
      </w:r>
    </w:p>
    <w:p>
      <w:pPr>
        <w:spacing w:line="269" w:lineRule="auto"/>
        <w:ind w:right="20"/>
        <w:jc w:val="both"/>
        <w:rPr>
          <w:rFonts w:ascii="Arial" w:hAnsi="Arial" w:eastAsia="Arial" w:cs="Arial"/>
          <w:lang w:val="sr-Cyrl-RS"/>
        </w:rPr>
      </w:pPr>
    </w:p>
    <w:p>
      <w:pPr>
        <w:spacing w:line="247" w:lineRule="exact"/>
        <w:rPr>
          <w:rFonts w:ascii="Arial" w:hAnsi="Arial" w:cs="Arial"/>
          <w:lang w:val="sr-Cyrl-RS"/>
        </w:rPr>
      </w:pPr>
    </w:p>
    <w:p>
      <w:pPr>
        <w:pStyle w:val="4"/>
        <w:rPr>
          <w:rFonts w:ascii="Arial" w:hAnsi="Arial" w:eastAsia="Arial" w:cs="Arial"/>
          <w:szCs w:val="24"/>
          <w:lang w:val="sr-Cyrl-RS"/>
        </w:rPr>
      </w:pPr>
      <w:bookmarkStart w:id="26" w:name="_Toc144818242"/>
      <w:bookmarkStart w:id="27" w:name="_Toc159226515"/>
      <w:r>
        <w:rPr>
          <w:rFonts w:ascii="Arial" w:hAnsi="Arial" w:eastAsia="Arial" w:cs="Arial"/>
          <w:szCs w:val="24"/>
          <w:lang w:val="sr-Cyrl-RS"/>
        </w:rPr>
        <w:t>Флора и фауна</w:t>
      </w:r>
      <w:bookmarkEnd w:id="26"/>
      <w:bookmarkEnd w:id="27"/>
    </w:p>
    <w:p>
      <w:pPr>
        <w:spacing w:line="175" w:lineRule="exact"/>
        <w:rPr>
          <w:rFonts w:ascii="Arial" w:hAnsi="Arial" w:cs="Arial"/>
          <w:lang w:val="sr-Cyrl-RS"/>
        </w:rPr>
      </w:pPr>
    </w:p>
    <w:p>
      <w:pPr>
        <w:spacing w:line="288" w:lineRule="auto"/>
        <w:jc w:val="both"/>
        <w:rPr>
          <w:rFonts w:ascii="Arial" w:hAnsi="Arial" w:eastAsia="Arial" w:cs="Arial"/>
          <w:lang w:val="sr-Cyrl-RS"/>
        </w:rPr>
      </w:pPr>
      <w:r>
        <w:rPr>
          <w:rFonts w:ascii="Arial" w:hAnsi="Arial" w:eastAsia="Arial" w:cs="Arial"/>
          <w:lang w:val="sr-Cyrl-RS"/>
        </w:rPr>
        <w:t>На подручју Суве планине, регистровано је 58 врста лишајева из 39 родова. Досадашња истраживања показала су изузетан диверзитет ентомофауне Суве планине – 259 утврђених таксона, а у фауни дневних лептира 112 врста. Као типично планинско станиште, Суву планину карактерише и присуство великог броја врста птица. До сада је евидентирано 139 врста птица, од тога 129 гнездарица. Реке подножја Суве планине богате су аутохтоним врстама риба (поточна пастрмка, поточна мрена, кркуша, клен и др.). Од укупног броја врста које насељавају Србију, на Сувој планини је регистровано 43% врста водоземаца и 63% врста гмизаваца. Нарочито је велико богатство у класи Рептилиа, где је од 22 врсте гмизаваца регистрованих у Србији, 13 врста односно више од 63% забележено на Сувој планини.</w:t>
      </w:r>
    </w:p>
    <w:p>
      <w:pPr>
        <w:spacing w:line="336" w:lineRule="exact"/>
        <w:rPr>
          <w:rFonts w:ascii="Arial" w:hAnsi="Arial" w:cs="Arial"/>
          <w:lang w:val="sr-Cyrl-RS"/>
        </w:rPr>
      </w:pPr>
    </w:p>
    <w:p>
      <w:pPr>
        <w:spacing w:line="272" w:lineRule="auto"/>
        <w:ind w:right="20"/>
        <w:jc w:val="both"/>
        <w:rPr>
          <w:rFonts w:ascii="Arial" w:hAnsi="Arial" w:eastAsia="Arial" w:cs="Arial"/>
          <w:lang w:val="sr-Cyrl-RS"/>
        </w:rPr>
      </w:pPr>
      <w:r>
        <w:rPr>
          <w:rFonts w:ascii="Arial" w:hAnsi="Arial" w:eastAsia="Arial" w:cs="Arial"/>
          <w:lang w:val="sr-Cyrl-RS"/>
        </w:rPr>
        <w:t>Шумско богатство је релативно велико, 11.691 ха (33,4% територије). Превладавају цер и буква. Површина обрасле шумске површине у општини укупно зноси 8806 ха. Индивидуални сектор располаже са 60% шума, посечена дрвна маса годишње износи 1700 m3.</w:t>
      </w:r>
    </w:p>
    <w:p>
      <w:pPr>
        <w:spacing w:line="334" w:lineRule="exact"/>
        <w:rPr>
          <w:rFonts w:ascii="Arial" w:hAnsi="Arial" w:cs="Arial"/>
          <w:lang w:val="sr-Cyrl-RS"/>
        </w:rPr>
      </w:pPr>
    </w:p>
    <w:p>
      <w:pPr>
        <w:spacing w:line="271" w:lineRule="auto"/>
        <w:ind w:right="20"/>
        <w:jc w:val="both"/>
        <w:rPr>
          <w:rFonts w:ascii="Arial" w:hAnsi="Arial" w:eastAsia="Arial" w:cs="Arial"/>
          <w:lang w:val="sr-Cyrl-RS"/>
        </w:rPr>
      </w:pPr>
      <w:r>
        <w:rPr>
          <w:rFonts w:ascii="Arial" w:hAnsi="Arial" w:eastAsia="Arial" w:cs="Arial"/>
          <w:lang w:val="sr-Cyrl-RS"/>
        </w:rPr>
        <w:t>На територији Општине Гаџин Хан постоји велики број различитих врста печурака и зачинског биља. Најзаступљеније су печурке у дестинацији: вргањ (више врста), лисичарка, буковача, медењак, оморика, сунчаница, шампињон,</w:t>
      </w:r>
    </w:p>
    <w:p>
      <w:pPr>
        <w:spacing w:line="125" w:lineRule="exact"/>
        <w:rPr>
          <w:rFonts w:ascii="Arial" w:hAnsi="Arial" w:cs="Arial"/>
          <w:lang w:val="sr-Cyrl-RS"/>
        </w:rPr>
      </w:pPr>
    </w:p>
    <w:p>
      <w:pPr>
        <w:spacing w:line="0" w:lineRule="atLeast"/>
        <w:ind w:left="8780"/>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00" w:lineRule="exact"/>
        <w:rPr>
          <w:rFonts w:ascii="Arial" w:hAnsi="Arial" w:cs="Arial"/>
          <w:lang w:val="sr-Cyrl-RS"/>
        </w:rPr>
      </w:pPr>
      <w:bookmarkStart w:id="28" w:name="page17"/>
      <w:bookmarkEnd w:id="28"/>
    </w:p>
    <w:p>
      <w:pPr>
        <w:spacing w:line="313" w:lineRule="exact"/>
        <w:rPr>
          <w:rFonts w:ascii="Arial" w:hAnsi="Arial" w:cs="Arial"/>
          <w:lang w:val="sr-Cyrl-RS"/>
        </w:rPr>
      </w:pPr>
    </w:p>
    <w:p>
      <w:pPr>
        <w:spacing w:line="274" w:lineRule="auto"/>
        <w:jc w:val="both"/>
        <w:rPr>
          <w:rFonts w:ascii="Arial" w:hAnsi="Arial" w:eastAsia="Arial" w:cs="Arial"/>
          <w:lang w:val="sr-Cyrl-RS"/>
        </w:rPr>
      </w:pPr>
      <w:r>
        <w:rPr>
          <w:rFonts w:ascii="Arial" w:hAnsi="Arial" w:eastAsia="Arial" w:cs="Arial"/>
          <w:lang w:val="sr-Cyrl-RS"/>
        </w:rPr>
        <w:t>рударска, рујница и др. Најзаступљеније врсте лековитог биља су: кантарион, хајдучка трава, подубица, вранилова трава (дивљи оригано), ивањско цвеће, кадуља (жалфија), кичица, камилица, маслачак, матичњак, сремуж, гавез, слез бели и црни, здравац, дрен, шипак, трњина, глог, зова, ружа, итд. Постоји и веома ретка врста линцуре која је веома ретка и расте на Сувој планини, као и Госпина папучица (лат. Cypripedium calceolus) која је европска врста дивље орхидеје и у Србији расте само на Сувој планини.</w:t>
      </w:r>
    </w:p>
    <w:p>
      <w:pPr>
        <w:spacing w:line="274" w:lineRule="auto"/>
        <w:jc w:val="both"/>
        <w:rPr>
          <w:rFonts w:ascii="Arial" w:hAnsi="Arial" w:eastAsia="Arial" w:cs="Arial"/>
          <w:lang w:val="sr-Cyrl-RS"/>
        </w:rPr>
      </w:pPr>
    </w:p>
    <w:p>
      <w:pPr>
        <w:spacing w:line="274" w:lineRule="auto"/>
        <w:jc w:val="both"/>
        <w:rPr>
          <w:rFonts w:ascii="Arial" w:hAnsi="Arial" w:eastAsia="Arial" w:cs="Arial"/>
          <w:lang w:val="sr-Cyrl-RS"/>
        </w:rPr>
      </w:pPr>
      <w:r>
        <w:rPr>
          <w:rFonts w:ascii="Arial" w:hAnsi="Arial" w:eastAsia="Arial" w:cs="Arial"/>
          <w:i/>
          <w:lang w:val="sr-Cyrl-RS"/>
        </w:rPr>
        <w:t>Слика 4. Флора суве планине,</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85888" behindDoc="1" locked="0" layoutInCell="1" allowOverlap="1">
            <wp:simplePos x="0" y="0"/>
            <wp:positionH relativeFrom="column">
              <wp:posOffset>654050</wp:posOffset>
            </wp:positionH>
            <wp:positionV relativeFrom="paragraph">
              <wp:posOffset>3810</wp:posOffset>
            </wp:positionV>
            <wp:extent cx="4422775" cy="2383790"/>
            <wp:effectExtent l="0" t="0" r="0" b="0"/>
            <wp:wrapNone/>
            <wp:docPr id="526" name="Picture 136" descr="A green field with rocks and bushes&#10;&#10;Description automatically generated"/>
            <wp:cNvGraphicFramePr/>
            <a:graphic xmlns:a="http://schemas.openxmlformats.org/drawingml/2006/main">
              <a:graphicData uri="http://schemas.openxmlformats.org/drawingml/2006/picture">
                <pic:pic xmlns:pic="http://schemas.openxmlformats.org/drawingml/2006/picture">
                  <pic:nvPicPr>
                    <pic:cNvPr id="526" name="Picture 136" descr="A green field with rocks and bushes&#10;&#10;Description automatically generated"/>
                    <pic:cNvPicPr/>
                  </pic:nvPicPr>
                  <pic:blipFill>
                    <a:blip r:embed="rId11" cstate="email"/>
                    <a:srcRect/>
                    <a:stretch>
                      <a:fillRect/>
                    </a:stretch>
                  </pic:blipFill>
                  <pic:spPr>
                    <a:xfrm>
                      <a:off x="0" y="0"/>
                      <a:ext cx="4422775" cy="2383790"/>
                    </a:xfrm>
                    <a:prstGeom prst="rect">
                      <a:avLst/>
                    </a:prstGeom>
                    <a:noFill/>
                    <a:ln>
                      <a:noFill/>
                    </a:ln>
                  </pic:spPr>
                </pic:pic>
              </a:graphicData>
            </a:graphic>
          </wp:anchor>
        </w:drawing>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89" w:lineRule="exact"/>
        <w:rPr>
          <w:rFonts w:ascii="Arial" w:hAnsi="Arial" w:cs="Arial"/>
          <w:lang w:val="sr-Cyrl-RS"/>
        </w:rPr>
      </w:pPr>
    </w:p>
    <w:p>
      <w:pPr>
        <w:spacing w:line="0" w:lineRule="atLeast"/>
        <w:rPr>
          <w:rFonts w:ascii="Arial" w:hAnsi="Arial" w:eastAsia="Arial" w:cs="Arial"/>
          <w:i/>
          <w:lang w:val="sr-Cyrl-RS"/>
        </w:rPr>
      </w:pPr>
      <w:r>
        <w:rPr>
          <w:rFonts w:ascii="Arial" w:hAnsi="Arial" w:eastAsia="Arial" w:cs="Arial"/>
          <w:i/>
          <w:lang w:val="sr-Cyrl-RS"/>
        </w:rPr>
        <w:t>Извор:  ТО Гаџин Хан</w:t>
      </w:r>
    </w:p>
    <w:p>
      <w:pPr>
        <w:spacing w:line="252" w:lineRule="exact"/>
        <w:rPr>
          <w:rFonts w:ascii="Arial" w:hAnsi="Arial" w:cs="Arial"/>
          <w:lang w:val="sr-Cyrl-RS"/>
        </w:rPr>
      </w:pPr>
    </w:p>
    <w:p>
      <w:pPr>
        <w:spacing w:line="288" w:lineRule="auto"/>
        <w:ind w:right="20"/>
        <w:jc w:val="both"/>
        <w:rPr>
          <w:rFonts w:ascii="Arial" w:hAnsi="Arial" w:eastAsia="Arial" w:cs="Arial"/>
          <w:lang w:val="sr-Cyrl-RS"/>
        </w:rPr>
      </w:pPr>
      <w:r>
        <w:rPr>
          <w:rFonts w:ascii="Arial" w:hAnsi="Arial" w:eastAsia="Arial" w:cs="Arial"/>
          <w:lang w:val="sr-Cyrl-RS"/>
        </w:rPr>
        <w:t>Фауна сисара Суве планине, на основу броја заступљених врста (26 врста), њиховог просторног распореда и улоге у функционисању екосистема, представља значајан сегмент природних вредности Србије. У фауни сисара Суве планине посебно се истичу европска снежна волухарица (лат. Chionomys nivalis), велики сиви пух (лат. Myoxus glis) и дивља мачка (лат. Felis silvestris).</w:t>
      </w:r>
    </w:p>
    <w:p>
      <w:pPr>
        <w:spacing w:line="319" w:lineRule="exact"/>
        <w:rPr>
          <w:rFonts w:ascii="Arial" w:hAnsi="Arial" w:cs="Arial"/>
          <w:lang w:val="sr-Cyrl-RS"/>
        </w:rPr>
      </w:pPr>
    </w:p>
    <w:p>
      <w:pPr>
        <w:spacing w:line="275" w:lineRule="auto"/>
        <w:jc w:val="both"/>
        <w:rPr>
          <w:rFonts w:ascii="Arial" w:hAnsi="Arial" w:eastAsia="Arial" w:cs="Arial"/>
          <w:lang w:val="sr-Cyrl-RS"/>
        </w:rPr>
      </w:pPr>
      <w:r>
        <w:rPr>
          <w:rFonts w:ascii="Arial" w:hAnsi="Arial" w:eastAsia="Arial" w:cs="Arial"/>
          <w:lang w:val="sr-Cyrl-RS"/>
        </w:rPr>
        <w:t>Ово подручје има статус важне орнитолошка територије и станиште биодиверзитета (IBA -</w:t>
      </w:r>
      <w:r>
        <w:rPr>
          <w:rFonts w:ascii="Arial" w:hAnsi="Arial" w:cs="Arial"/>
          <w:b/>
          <w:bCs/>
          <w:color w:val="202122"/>
          <w:shd w:val="clear" w:color="auto" w:fill="FFFFFF"/>
          <w:lang w:val="sr-Cyrl-RS"/>
        </w:rPr>
        <w:t xml:space="preserve"> </w:t>
      </w:r>
      <w:r>
        <w:rPr>
          <w:rFonts w:ascii="Arial" w:hAnsi="Arial" w:eastAsia="Arial" w:cs="Arial"/>
          <w:bCs/>
          <w:lang w:val="sr-Cyrl-RS"/>
        </w:rPr>
        <w:t>Important Bird and Biodiversity Area</w:t>
      </w:r>
      <w:r>
        <w:rPr>
          <w:rFonts w:ascii="Arial" w:hAnsi="Arial" w:eastAsia="Arial" w:cs="Arial"/>
          <w:lang w:val="sr-Cyrl-RS"/>
        </w:rPr>
        <w:t>). Постоје локалитети јако угрожених врста као на пример јаребице камењарке (лат. Alectoris graeca), сивог сокола (лат. Falco peregrinus), сурог орла (лат. Aquila chrysaetos), жутокљуна галица (лат. Pyrrhocorax graculus) већи део станишта је на Сувој планини и налази се у специјалном резервату природе. Од дивљачи највише су заступљене дивље свиње, срнећа дивљач, вук, лисица, шакал, јазавац, куна белица, куна златица, зец, видра, дивља мачка, итд. На пашњацима Суве планине слободно се крећу 200 коња и 800 крава који се слободно крећу планином без пастира и тако чине посебну атракцију за време шетњи и планинарења.</w:t>
      </w:r>
    </w:p>
    <w:p>
      <w:pPr>
        <w:spacing w:line="0" w:lineRule="atLeast"/>
        <w:ind w:left="8780"/>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0" w:lineRule="exact"/>
        <w:rPr>
          <w:rFonts w:ascii="Arial" w:hAnsi="Arial" w:cs="Arial"/>
          <w:lang w:val="sr-Cyrl-RS"/>
        </w:rPr>
      </w:pPr>
      <w:bookmarkStart w:id="29" w:name="page18"/>
      <w:bookmarkEnd w:id="29"/>
      <w:r>
        <w:rPr>
          <w:rFonts w:ascii="Arial" w:hAnsi="Arial" w:cs="Arial"/>
          <w:lang w:eastAsia="en-US"/>
        </w:rPr>
        <w:drawing>
          <wp:anchor distT="0" distB="0" distL="114300" distR="114300" simplePos="0" relativeHeight="251686912" behindDoc="1" locked="0" layoutInCell="1" allowOverlap="1">
            <wp:simplePos x="0" y="0"/>
            <wp:positionH relativeFrom="column">
              <wp:posOffset>1123315</wp:posOffset>
            </wp:positionH>
            <wp:positionV relativeFrom="paragraph">
              <wp:posOffset>318770</wp:posOffset>
            </wp:positionV>
            <wp:extent cx="3483610" cy="1900555"/>
            <wp:effectExtent l="0" t="0" r="0" b="0"/>
            <wp:wrapNone/>
            <wp:docPr id="525" name="Picture 135" descr="A brown bird with wings spread&#10;&#10;Description automatically generated"/>
            <wp:cNvGraphicFramePr/>
            <a:graphic xmlns:a="http://schemas.openxmlformats.org/drawingml/2006/main">
              <a:graphicData uri="http://schemas.openxmlformats.org/drawingml/2006/picture">
                <pic:pic xmlns:pic="http://schemas.openxmlformats.org/drawingml/2006/picture">
                  <pic:nvPicPr>
                    <pic:cNvPr id="525" name="Picture 135" descr="A brown bird with wings spread&#10;&#10;Description automatically generated"/>
                    <pic:cNvPicPr/>
                  </pic:nvPicPr>
                  <pic:blipFill>
                    <a:blip r:embed="rId12"/>
                    <a:srcRect/>
                    <a:stretch>
                      <a:fillRect/>
                    </a:stretch>
                  </pic:blipFill>
                  <pic:spPr>
                    <a:xfrm>
                      <a:off x="0" y="0"/>
                      <a:ext cx="3483610" cy="1900555"/>
                    </a:xfrm>
                    <a:prstGeom prst="rect">
                      <a:avLst/>
                    </a:prstGeom>
                    <a:noFill/>
                    <a:ln>
                      <a:noFill/>
                    </a:ln>
                  </pic:spPr>
                </pic:pic>
              </a:graphicData>
            </a:graphic>
          </wp:anchor>
        </w:drawing>
      </w:r>
    </w:p>
    <w:p>
      <w:pPr>
        <w:spacing w:line="200" w:lineRule="exact"/>
        <w:rPr>
          <w:rFonts w:ascii="Arial" w:hAnsi="Arial" w:cs="Arial"/>
          <w:lang w:val="sr-Cyrl-RS"/>
        </w:rPr>
      </w:pPr>
    </w:p>
    <w:p>
      <w:pPr>
        <w:spacing w:line="0" w:lineRule="atLeast"/>
        <w:rPr>
          <w:rFonts w:ascii="Arial" w:hAnsi="Arial" w:eastAsia="Arial" w:cs="Arial"/>
          <w:i/>
          <w:lang w:val="sr-Cyrl-RS"/>
        </w:rPr>
      </w:pPr>
      <w:r>
        <w:rPr>
          <w:rFonts w:ascii="Arial" w:hAnsi="Arial" w:eastAsia="Arial" w:cs="Arial"/>
          <w:i/>
          <w:lang w:val="sr-Cyrl-RS"/>
        </w:rPr>
        <w:t>Слика 5. Сури орао (лат. Aquila chrysaetos), КАС</w:t>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21" w:lineRule="exact"/>
        <w:rPr>
          <w:rFonts w:ascii="Arial" w:hAnsi="Arial" w:cs="Arial"/>
          <w:lang w:val="sr-Cyrl-RS"/>
        </w:rPr>
      </w:pPr>
    </w:p>
    <w:p>
      <w:pPr>
        <w:spacing w:line="0" w:lineRule="atLeast"/>
        <w:rPr>
          <w:rFonts w:ascii="Arial" w:hAnsi="Arial" w:eastAsia="Arial" w:cs="Arial"/>
          <w:i/>
          <w:lang w:val="sr-Cyrl-RS"/>
        </w:rPr>
      </w:pPr>
      <w:r>
        <w:rPr>
          <w:rFonts w:ascii="Arial" w:hAnsi="Arial" w:eastAsia="Arial" w:cs="Arial"/>
          <w:i/>
          <w:lang w:val="sr-Cyrl-RS"/>
        </w:rPr>
        <w:t>Извор: Кампинг асоцијација Србије</w:t>
      </w:r>
    </w:p>
    <w:p>
      <w:pPr>
        <w:spacing w:line="257" w:lineRule="exact"/>
        <w:rPr>
          <w:rFonts w:ascii="Arial" w:hAnsi="Arial" w:cs="Arial"/>
          <w:lang w:val="sr-Cyrl-RS"/>
        </w:rPr>
      </w:pPr>
    </w:p>
    <w:p>
      <w:pPr>
        <w:spacing w:line="274" w:lineRule="auto"/>
        <w:ind w:right="5"/>
        <w:jc w:val="both"/>
        <w:rPr>
          <w:rFonts w:ascii="Arial" w:hAnsi="Arial" w:eastAsia="Arial" w:cs="Arial"/>
          <w:vertAlign w:val="superscript"/>
          <w:lang w:val="sr-Cyrl-RS"/>
        </w:rPr>
      </w:pPr>
      <w:r>
        <w:rPr>
          <w:rFonts w:ascii="Arial" w:hAnsi="Arial" w:eastAsia="Arial" w:cs="Arial"/>
          <w:lang w:val="sr-Cyrl-RS"/>
        </w:rPr>
        <w:t>Сува планина изузетно добро станиште за дивокозу и 2017. покренут је пројекат реинтродукције дивокозе на Сувој планини за који је урађена студија изводљивости. Такође није реткост видети на Сувој планини и Белоглавог супа, па би се самим тим могло направити и једно хранилиште за Белоглавог супа са чеком – осматрачницом за праћење свих врста као птица грабљивица тако и осталих врста предатора.</w:t>
      </w:r>
      <w:r>
        <w:rPr>
          <w:rFonts w:ascii="Arial" w:hAnsi="Arial" w:eastAsia="Arial" w:cs="Arial"/>
          <w:vertAlign w:val="superscript"/>
          <w:lang w:val="sr-Cyrl-RS"/>
        </w:rPr>
        <w:t>5</w:t>
      </w:r>
    </w:p>
    <w:p>
      <w:pPr>
        <w:spacing w:line="269" w:lineRule="auto"/>
        <w:ind w:right="20"/>
        <w:jc w:val="both"/>
        <w:rPr>
          <w:rFonts w:ascii="Arial" w:hAnsi="Arial" w:eastAsia="Arial" w:cs="Arial"/>
          <w:lang w:val="sr-Cyrl-RS"/>
        </w:rPr>
      </w:pPr>
    </w:p>
    <w:p>
      <w:pPr>
        <w:spacing w:line="275" w:lineRule="auto"/>
        <w:jc w:val="both"/>
        <w:rPr>
          <w:rFonts w:ascii="Arial" w:hAnsi="Arial" w:eastAsia="Arial" w:cs="Arial"/>
          <w:lang w:val="sr-Cyrl-RS"/>
        </w:rPr>
        <w:sectPr>
          <w:pgSz w:w="11900" w:h="16840"/>
          <w:pgMar w:top="707" w:right="1425" w:bottom="551" w:left="1440" w:header="0" w:footer="0" w:gutter="0"/>
          <w:cols w:equalWidth="0" w:num="1">
            <w:col w:w="9040"/>
          </w:cols>
          <w:docGrid w:linePitch="360" w:charSpace="0"/>
        </w:sectPr>
      </w:pPr>
    </w:p>
    <w:p>
      <w:pPr>
        <w:pStyle w:val="4"/>
        <w:rPr>
          <w:rFonts w:ascii="Arial" w:hAnsi="Arial" w:eastAsia="Arial" w:cs="Arial"/>
          <w:szCs w:val="24"/>
          <w:lang w:val="sr-Cyrl-RS"/>
        </w:rPr>
      </w:pPr>
      <w:bookmarkStart w:id="30" w:name="page9"/>
      <w:bookmarkEnd w:id="30"/>
      <w:bookmarkStart w:id="31" w:name="_Toc159226516"/>
      <w:bookmarkStart w:id="32" w:name="_Toc144818235"/>
      <w:r>
        <w:rPr>
          <w:rFonts w:ascii="Arial" w:hAnsi="Arial" w:eastAsia="Arial" w:cs="Arial"/>
          <w:szCs w:val="24"/>
          <w:lang w:val="sr-Cyrl-RS"/>
        </w:rPr>
        <w:t>Демографске карактеристике</w:t>
      </w:r>
      <w:bookmarkEnd w:id="31"/>
      <w:bookmarkEnd w:id="32"/>
    </w:p>
    <w:p>
      <w:pPr>
        <w:spacing w:line="239" w:lineRule="auto"/>
        <w:jc w:val="both"/>
        <w:rPr>
          <w:rFonts w:ascii="Arial" w:hAnsi="Arial" w:eastAsia="Arial" w:cs="Arial"/>
          <w:lang w:val="sr-Cyrl-RS"/>
        </w:rPr>
      </w:pPr>
      <w:r>
        <w:rPr>
          <w:rFonts w:ascii="Arial" w:hAnsi="Arial" w:eastAsia="Arial" w:cs="Arial"/>
          <w:lang w:val="sr-Cyrl-RS"/>
        </w:rPr>
        <w:t>Демографска анализа Општине Гаџин Хан обухвата статистичко-демографске податке о броју, размештају и структури становништва. Према подацима Републичког завода за статистику, на основу пописа становништва из 2022. године, у Општини Гаџин Хан живи 5.850 становника. У поређењу са претходним пописом становништва из 2011. године, уочљив је тренд депопулације, јер се број становника смањио за 2.539 становника, односно за више од 30%. Ако се сагледа дужи период, подаци су више него забрињавајући. Тако у односу на попис из 1991. године број становника се смањио за 7.140, а у односу на попис из 1981 године за 10.431 становника, готово за половину.</w:t>
      </w:r>
    </w:p>
    <w:p>
      <w:pPr>
        <w:spacing w:line="288" w:lineRule="exact"/>
        <w:rPr>
          <w:rFonts w:ascii="Arial" w:hAnsi="Arial" w:cs="Arial"/>
          <w:lang w:val="sr-Cyrl-RS"/>
        </w:rPr>
      </w:pPr>
    </w:p>
    <w:p>
      <w:pPr>
        <w:spacing w:line="236" w:lineRule="auto"/>
        <w:ind w:right="20"/>
        <w:jc w:val="both"/>
        <w:rPr>
          <w:rFonts w:ascii="Arial" w:hAnsi="Arial" w:eastAsia="Arial" w:cs="Arial"/>
          <w:lang w:val="sr-Cyrl-RS"/>
        </w:rPr>
      </w:pPr>
      <w:r>
        <w:rPr>
          <w:rFonts w:ascii="Arial" w:hAnsi="Arial" w:eastAsia="Arial" w:cs="Arial"/>
          <w:lang w:val="sr-Cyrl-RS"/>
        </w:rPr>
        <w:t>Тренд депопулизације се наставља и у наредној табели приказана је даља промена броја становника у Региону јужне и источне Србије, као и у Гаџином Хану.</w:t>
      </w:r>
    </w:p>
    <w:p>
      <w:pPr>
        <w:spacing w:line="236" w:lineRule="auto"/>
        <w:ind w:right="20"/>
        <w:jc w:val="both"/>
        <w:rPr>
          <w:rFonts w:ascii="Arial" w:hAnsi="Arial" w:eastAsia="Arial" w:cs="Arial"/>
          <w:lang w:val="ru-RU"/>
        </w:rPr>
      </w:pPr>
      <w:r>
        <w:rPr>
          <w:rFonts w:ascii="Arial" w:hAnsi="Arial" w:eastAsia="Arial" w:cs="Arial"/>
          <w:i/>
          <w:lang w:val="sr-Cyrl-RS"/>
        </w:rPr>
        <w:t xml:space="preserve">Табела 2. Промена броја становника 2017 - </w:t>
      </w:r>
    </w:p>
    <w:p>
      <w:pPr>
        <w:spacing w:line="20" w:lineRule="exact"/>
        <w:rPr>
          <w:rFonts w:ascii="Arial" w:hAnsi="Arial" w:cs="Arial"/>
          <w:lang w:val="sr-Cyrl-RS"/>
        </w:rPr>
      </w:pPr>
      <w:r>
        <w:rPr>
          <w:rFonts w:ascii="Arial" w:hAnsi="Arial" w:cs="Arial"/>
          <w:lang w:eastAsia="en-US"/>
        </w:rPr>
        <mc:AlternateContent>
          <mc:Choice Requires="wps">
            <w:drawing>
              <wp:anchor distT="0" distB="0" distL="114300" distR="114300" simplePos="0" relativeHeight="251667456" behindDoc="1" locked="0" layoutInCell="1" allowOverlap="1">
                <wp:simplePos x="0" y="0"/>
                <wp:positionH relativeFrom="column">
                  <wp:posOffset>-18415</wp:posOffset>
                </wp:positionH>
                <wp:positionV relativeFrom="paragraph">
                  <wp:posOffset>3810</wp:posOffset>
                </wp:positionV>
                <wp:extent cx="5770880" cy="301625"/>
                <wp:effectExtent l="0" t="0" r="0" b="3175"/>
                <wp:wrapNone/>
                <wp:docPr id="68735980" name="Rectangle 56"/>
                <wp:cNvGraphicFramePr/>
                <a:graphic xmlns:a="http://schemas.openxmlformats.org/drawingml/2006/main">
                  <a:graphicData uri="http://schemas.microsoft.com/office/word/2010/wordprocessingShape">
                    <wps:wsp>
                      <wps:cNvSpPr/>
                      <wps:spPr bwMode="auto">
                        <a:xfrm>
                          <a:off x="0" y="0"/>
                          <a:ext cx="5770880" cy="301625"/>
                        </a:xfrm>
                        <a:prstGeom prst="rect">
                          <a:avLst/>
                        </a:prstGeom>
                        <a:solidFill>
                          <a:srgbClr val="0171BB"/>
                        </a:solidFill>
                        <a:ln w="9525">
                          <a:solidFill>
                            <a:srgbClr val="FFFFFF"/>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1.45pt;margin-top:0.3pt;height:23.75pt;width:454.4pt;z-index:-251649024;mso-width-relative:page;mso-height-relative:page;" fillcolor="#0171BB" filled="t" stroked="t" coordsize="21600,21600" o:gfxdata="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luqKfVAAAABgEAAA8A&#10;AAAAAAAAAQAgAAAAIgAAAGRycy9kb3ducmV2LnhtbFBLAQIUABQAAAAIAIdO4kC5H5Y5GgIAAFUE&#10;AAAOAAAAAAAAAAEAIAAAACQBAABkcnMvZTJvRG9jLnhtbFBLBQYAAAAABgAGAFkBAACwBQAAAAA=&#10;">
                <v:fill on="t" focussize="0,0"/>
                <v:stroke color="#FFFFFF" miterlimit="8" joinstyle="miter"/>
                <v:imagedata o:title=""/>
                <o:lock v:ext="edit" aspectratio="f"/>
                <v:textbox>
                  <w:txbxContent>
                    <w:p>
                      <w:pPr>
                        <w:jc w:val="center"/>
                      </w:pPr>
                    </w:p>
                  </w:txbxContent>
                </v:textbox>
              </v:rect>
            </w:pict>
          </mc:Fallback>
        </mc:AlternateContent>
      </w:r>
      <w:r>
        <w:rPr>
          <w:rFonts w:ascii="Arial" w:hAnsi="Arial" w:cs="Arial"/>
          <w:lang w:eastAsia="en-US"/>
        </w:rPr>
        <mc:AlternateContent>
          <mc:Choice Requires="wps">
            <w:drawing>
              <wp:anchor distT="0" distB="0" distL="114300" distR="114300" simplePos="0" relativeHeight="251668480" behindDoc="1" locked="0" layoutInCell="1" allowOverlap="1">
                <wp:simplePos x="0" y="0"/>
                <wp:positionH relativeFrom="column">
                  <wp:posOffset>-18415</wp:posOffset>
                </wp:positionH>
                <wp:positionV relativeFrom="paragraph">
                  <wp:posOffset>305435</wp:posOffset>
                </wp:positionV>
                <wp:extent cx="5770880" cy="200025"/>
                <wp:effectExtent l="0" t="0" r="0" b="3175"/>
                <wp:wrapNone/>
                <wp:docPr id="282666375" name="Rectangle 55"/>
                <wp:cNvGraphicFramePr/>
                <a:graphic xmlns:a="http://schemas.openxmlformats.org/drawingml/2006/main">
                  <a:graphicData uri="http://schemas.microsoft.com/office/word/2010/wordprocessingShape">
                    <wps:wsp>
                      <wps:cNvSpPr/>
                      <wps:spPr bwMode="auto">
                        <a:xfrm>
                          <a:off x="0" y="0"/>
                          <a:ext cx="5770880" cy="200025"/>
                        </a:xfrm>
                        <a:prstGeom prst="rect">
                          <a:avLst/>
                        </a:prstGeom>
                        <a:solidFill>
                          <a:srgbClr val="0171BB"/>
                        </a:solidFill>
                        <a:ln w="9525">
                          <a:solidFill>
                            <a:srgbClr val="FFFFFF"/>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1.45pt;margin-top:24.05pt;height:15.75pt;width:454.4pt;z-index:-251648000;mso-width-relative:page;mso-height-relative:page;" fillcolor="#0171BB" filled="t" stroked="t" coordsize="21600,21600" o:gfxdata="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Y/QrTY&#10;AAAACAEAAA8AAAAAAAAAAQAgAAAAIgAAAGRycy9kb3ducmV2LnhtbFBLAQIUABQAAAAIAIdO4kDm&#10;INiqIAIAAFYEAAAOAAAAAAAAAAEAIAAAACcBAABkcnMvZTJvRG9jLnhtbFBLBQYAAAAABgAGAFkB&#10;AAC5BQAAAAA=&#10;">
                <v:fill on="t" focussize="0,0"/>
                <v:stroke color="#FFFFFF" miterlimit="8" joinstyle="miter"/>
                <v:imagedata o:title=""/>
                <o:lock v:ext="edit" aspectratio="f"/>
                <v:textbox>
                  <w:txbxContent>
                    <w:p>
                      <w:pPr>
                        <w:jc w:val="center"/>
                      </w:pPr>
                    </w:p>
                  </w:txbxContent>
                </v:textbox>
              </v:rect>
            </w:pict>
          </mc:Fallback>
        </mc:AlternateContent>
      </w:r>
    </w:p>
    <w:p>
      <w:pPr>
        <w:spacing w:line="20" w:lineRule="exact"/>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00" w:lineRule="exact"/>
        <w:rPr>
          <w:rFonts w:ascii="Arial" w:hAnsi="Arial" w:cs="Arial"/>
          <w:lang w:val="sr-Cyrl-RS"/>
        </w:rPr>
      </w:pPr>
    </w:p>
    <w:p>
      <w:pPr>
        <w:spacing w:line="281"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Промена броја становника (%)</w:t>
      </w:r>
    </w:p>
    <w:p>
      <w:pPr>
        <w:spacing w:line="301" w:lineRule="exact"/>
        <w:rPr>
          <w:rFonts w:ascii="Arial" w:hAnsi="Arial" w:cs="Arial"/>
          <w:lang w:val="sr-Cyrl-RS"/>
        </w:rPr>
      </w:pPr>
    </w:p>
    <w:p>
      <w:pPr>
        <w:spacing w:line="0" w:lineRule="atLeast"/>
        <w:rPr>
          <w:rFonts w:ascii="Arial" w:hAnsi="Arial" w:eastAsia="Arial" w:cs="Arial"/>
          <w:b/>
          <w:lang w:val="sr-Cyrl-RS"/>
        </w:rPr>
      </w:pPr>
      <w:r>
        <w:rPr>
          <w:rFonts w:ascii="Arial" w:hAnsi="Arial" w:cs="Arial"/>
          <w:lang w:eastAsia="en-US"/>
        </w:rPr>
        <w:drawing>
          <wp:inline distT="0" distB="0" distL="0" distR="0">
            <wp:extent cx="1612265" cy="424180"/>
            <wp:effectExtent l="0" t="0" r="0" b="0"/>
            <wp:docPr id="1715107236" name="Picture 1715107236" descr="A blue and whit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1715107236" name="Picture 1715107236" descr="A blue and white rectangle&#10;&#10;Description automatically generated"/>
                    <pic:cNvPicPr/>
                  </pic:nvPicPr>
                  <pic:blipFill>
                    <a:blip r:embed="rId13" cstate="email"/>
                    <a:srcRect/>
                    <a:stretch>
                      <a:fillRect/>
                    </a:stretch>
                  </pic:blipFill>
                  <pic:spPr>
                    <a:xfrm>
                      <a:off x="0" y="0"/>
                      <a:ext cx="1612265" cy="424180"/>
                    </a:xfrm>
                    <a:prstGeom prst="rect">
                      <a:avLst/>
                    </a:prstGeom>
                    <a:noFill/>
                    <a:ln>
                      <a:noFill/>
                    </a:ln>
                  </pic:spPr>
                </pic:pic>
              </a:graphicData>
            </a:graphic>
          </wp:inline>
        </w:drawing>
      </w:r>
      <w:r>
        <w:rPr>
          <w:rFonts w:ascii="Arial" w:hAnsi="Arial" w:eastAsia="Arial" w:cs="Arial"/>
          <w:b/>
          <w:lang w:val="sr-Cyrl-RS"/>
        </w:rPr>
        <w:t xml:space="preserve"> Период</w:t>
      </w:r>
    </w:p>
    <w:p>
      <w:pPr>
        <w:spacing w:line="200" w:lineRule="exact"/>
        <w:rPr>
          <w:rFonts w:ascii="Arial" w:hAnsi="Arial" w:cs="Arial"/>
          <w:lang w:val="sr-Cyrl-RS"/>
        </w:rPr>
      </w:pPr>
      <w:r>
        <w:rPr>
          <w:rFonts w:ascii="Arial" w:hAnsi="Arial" w:eastAsia="Arial" w:cs="Arial"/>
          <w:b/>
          <w:lang w:val="sr-Cyrl-RS"/>
        </w:rPr>
        <w:br w:type="column"/>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96" w:lineRule="exact"/>
        <w:rPr>
          <w:rFonts w:ascii="Arial" w:hAnsi="Arial" w:cs="Arial"/>
          <w:lang w:val="sr-Cyrl-RS"/>
        </w:rPr>
      </w:pPr>
    </w:p>
    <w:p>
      <w:pPr>
        <w:spacing w:line="0" w:lineRule="atLeast"/>
        <w:rPr>
          <w:rFonts w:ascii="Arial" w:hAnsi="Arial" w:eastAsia="Arial" w:cs="Arial"/>
          <w:b/>
          <w:lang w:val="sr-Cyrl-RS"/>
        </w:rPr>
      </w:pPr>
      <w:r>
        <w:rPr>
          <w:rFonts w:ascii="Arial" w:hAnsi="Arial" w:eastAsia="Arial" w:cs="Arial"/>
          <w:b/>
          <w:lang w:val="sr-Cyrl-RS"/>
        </w:rPr>
        <w:t>2017</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69504" behindDoc="1" locked="0" layoutInCell="1" allowOverlap="1">
            <wp:simplePos x="0" y="0"/>
            <wp:positionH relativeFrom="column">
              <wp:posOffset>-2875915</wp:posOffset>
            </wp:positionH>
            <wp:positionV relativeFrom="paragraph">
              <wp:posOffset>-231140</wp:posOffset>
            </wp:positionV>
            <wp:extent cx="5742940" cy="1438910"/>
            <wp:effectExtent l="0" t="0" r="0" b="0"/>
            <wp:wrapNone/>
            <wp:docPr id="535" name="Picture 142" descr="A white and blu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535" name="Picture 142" descr="A white and blue squares&#10;&#10;Description automatically generated"/>
                    <pic:cNvPicPr/>
                  </pic:nvPicPr>
                  <pic:blipFill>
                    <a:blip r:embed="rId14" cstate="email"/>
                    <a:srcRect/>
                    <a:stretch>
                      <a:fillRect/>
                    </a:stretch>
                  </pic:blipFill>
                  <pic:spPr>
                    <a:xfrm>
                      <a:off x="0" y="0"/>
                      <a:ext cx="5742940" cy="1438910"/>
                    </a:xfrm>
                    <a:prstGeom prst="rect">
                      <a:avLst/>
                    </a:prstGeom>
                    <a:noFill/>
                    <a:ln>
                      <a:noFill/>
                    </a:ln>
                  </pic:spPr>
                </pic:pic>
              </a:graphicData>
            </a:graphic>
          </wp:anchor>
        </w:drawing>
      </w:r>
    </w:p>
    <w:p>
      <w:pPr>
        <w:spacing w:line="200" w:lineRule="exact"/>
        <w:rPr>
          <w:rFonts w:ascii="Arial" w:hAnsi="Arial" w:cs="Arial"/>
          <w:lang w:val="sr-Cyrl-RS"/>
        </w:rPr>
      </w:pPr>
      <w:r>
        <w:rPr>
          <w:rFonts w:ascii="Arial" w:hAnsi="Arial" w:cs="Arial"/>
          <w:lang w:val="sr-Cyrl-RS"/>
        </w:rPr>
        <w:br w:type="column"/>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96" w:lineRule="exact"/>
        <w:rPr>
          <w:rFonts w:ascii="Arial" w:hAnsi="Arial" w:cs="Arial"/>
          <w:lang w:val="sr-Cyrl-RS"/>
        </w:rPr>
      </w:pPr>
    </w:p>
    <w:p>
      <w:pPr>
        <w:spacing w:line="0" w:lineRule="atLeast"/>
        <w:rPr>
          <w:rFonts w:ascii="Arial" w:hAnsi="Arial" w:eastAsia="Arial" w:cs="Arial"/>
          <w:b/>
          <w:lang w:val="sr-Cyrl-RS"/>
        </w:rPr>
      </w:pPr>
      <w:r>
        <w:rPr>
          <w:rFonts w:ascii="Arial" w:hAnsi="Arial" w:eastAsia="Arial" w:cs="Arial"/>
          <w:b/>
          <w:lang w:val="sr-Cyrl-RS"/>
        </w:rPr>
        <w:t>2018</w:t>
      </w:r>
    </w:p>
    <w:p>
      <w:pPr>
        <w:spacing w:line="200" w:lineRule="exact"/>
        <w:rPr>
          <w:rFonts w:ascii="Arial" w:hAnsi="Arial" w:cs="Arial"/>
          <w:lang w:val="sr-Cyrl-RS"/>
        </w:rPr>
      </w:pPr>
      <w:r>
        <w:rPr>
          <w:rFonts w:ascii="Arial" w:hAnsi="Arial" w:eastAsia="Arial" w:cs="Arial"/>
          <w:b/>
          <w:lang w:val="sr-Cyrl-RS"/>
        </w:rPr>
        <w:br w:type="column"/>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96" w:lineRule="exact"/>
        <w:rPr>
          <w:rFonts w:ascii="Arial" w:hAnsi="Arial" w:cs="Arial"/>
          <w:lang w:val="sr-Cyrl-RS"/>
        </w:rPr>
      </w:pPr>
    </w:p>
    <w:p>
      <w:pPr>
        <w:tabs>
          <w:tab w:val="left" w:pos="760"/>
        </w:tabs>
        <w:spacing w:line="0" w:lineRule="atLeast"/>
        <w:rPr>
          <w:rFonts w:ascii="Arial" w:hAnsi="Arial" w:eastAsia="Arial" w:cs="Arial"/>
          <w:b/>
          <w:shd w:val="clear" w:color="auto" w:fill="C1D5F4"/>
          <w:lang w:val="sr-Cyrl-RS"/>
        </w:rPr>
      </w:pPr>
      <w:r>
        <w:rPr>
          <w:rFonts w:ascii="Arial" w:hAnsi="Arial" w:eastAsia="Arial" w:cs="Arial"/>
          <w:b/>
          <w:shd w:val="clear" w:color="auto" w:fill="C1D5F4"/>
          <w:lang w:val="sr-Cyrl-RS"/>
        </w:rPr>
        <w:t>2019</w:t>
      </w:r>
      <w:r>
        <w:rPr>
          <w:rFonts w:ascii="Arial" w:hAnsi="Arial" w:eastAsia="Arial" w:cs="Arial"/>
          <w:b/>
          <w:shd w:val="clear" w:color="auto" w:fill="C1D5F4"/>
          <w:lang w:val="sr-Cyrl-RS"/>
        </w:rPr>
        <w:tab/>
      </w:r>
      <w:r>
        <w:rPr>
          <w:rFonts w:ascii="Arial" w:hAnsi="Arial" w:eastAsia="Arial" w:cs="Arial"/>
          <w:b/>
          <w:shd w:val="clear" w:color="auto" w:fill="C1D5F4"/>
          <w:lang w:val="sr-Cyrl-RS"/>
        </w:rPr>
        <w:t>2020</w:t>
      </w:r>
    </w:p>
    <w:p>
      <w:pPr>
        <w:spacing w:line="200" w:lineRule="exact"/>
        <w:rPr>
          <w:rFonts w:ascii="Arial" w:hAnsi="Arial" w:cs="Arial"/>
          <w:lang w:val="sr-Cyrl-RS"/>
        </w:rPr>
      </w:pPr>
      <w:r>
        <w:rPr>
          <w:rFonts w:ascii="Arial" w:hAnsi="Arial" w:eastAsia="Arial" w:cs="Arial"/>
          <w:b/>
          <w:shd w:val="clear" w:color="auto" w:fill="C1D5F4"/>
          <w:lang w:val="sr-Cyrl-RS"/>
        </w:rPr>
        <w:br w:type="column"/>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96" w:lineRule="exact"/>
        <w:rPr>
          <w:rFonts w:ascii="Arial" w:hAnsi="Arial" w:cs="Arial"/>
          <w:lang w:val="sr-Cyrl-RS"/>
        </w:rPr>
      </w:pPr>
    </w:p>
    <w:p>
      <w:pPr>
        <w:spacing w:line="0" w:lineRule="atLeast"/>
        <w:rPr>
          <w:rFonts w:ascii="Arial" w:hAnsi="Arial" w:eastAsia="Arial" w:cs="Arial"/>
          <w:b/>
          <w:lang w:val="sr-Cyrl-RS"/>
        </w:rPr>
      </w:pPr>
      <w:r>
        <w:rPr>
          <w:rFonts w:ascii="Arial" w:hAnsi="Arial" w:eastAsia="Arial" w:cs="Arial"/>
          <w:b/>
          <w:lang w:val="sr-Cyrl-RS"/>
        </w:rPr>
        <w:t>2021</w:t>
      </w:r>
    </w:p>
    <w:p>
      <w:pPr>
        <w:spacing w:line="0" w:lineRule="atLeast"/>
        <w:rPr>
          <w:rFonts w:ascii="Arial" w:hAnsi="Arial" w:eastAsia="Arial" w:cs="Arial"/>
          <w:b/>
          <w:lang w:val="sr-Cyrl-RS"/>
        </w:rPr>
        <w:sectPr>
          <w:type w:val="continuous"/>
          <w:pgSz w:w="11900" w:h="16840"/>
          <w:pgMar w:top="707" w:right="1425" w:bottom="551" w:left="1440" w:header="0" w:footer="0" w:gutter="0"/>
          <w:cols w:equalWidth="0" w:num="5">
            <w:col w:w="3800" w:space="720"/>
            <w:col w:w="540" w:space="520"/>
            <w:col w:w="540" w:space="300"/>
            <w:col w:w="1320" w:space="460"/>
            <w:col w:w="840"/>
          </w:cols>
          <w:docGrid w:linePitch="360" w:charSpace="0"/>
        </w:sectPr>
      </w:pPr>
    </w:p>
    <w:p>
      <w:pPr>
        <w:spacing w:line="94" w:lineRule="exact"/>
        <w:rPr>
          <w:rFonts w:ascii="Arial" w:hAnsi="Arial" w:cs="Arial"/>
          <w:lang w:val="sr-Cyrl-RS"/>
        </w:rPr>
      </w:pPr>
    </w:p>
    <w:p>
      <w:pPr>
        <w:spacing w:line="288" w:lineRule="auto"/>
        <w:ind w:left="80"/>
        <w:rPr>
          <w:rFonts w:ascii="Arial" w:hAnsi="Arial" w:eastAsia="Arial" w:cs="Arial"/>
          <w:b/>
          <w:lang w:val="sr-Cyrl-RS"/>
        </w:rPr>
      </w:pPr>
      <w:r>
        <w:rPr>
          <w:rFonts w:ascii="Arial" w:hAnsi="Arial" w:eastAsia="Arial" w:cs="Arial"/>
          <w:b/>
          <w:lang w:val="sr-Cyrl-RS"/>
        </w:rPr>
        <w:t>Промена броја становника (стопа)</w:t>
      </w:r>
    </w:p>
    <w:p>
      <w:pPr>
        <w:spacing w:line="20" w:lineRule="exact"/>
        <w:rPr>
          <w:rFonts w:ascii="Arial" w:hAnsi="Arial" w:cs="Arial"/>
          <w:lang w:val="sr-Cyrl-RS"/>
        </w:rPr>
      </w:pPr>
      <w:r>
        <w:rPr>
          <w:rFonts w:ascii="Arial" w:hAnsi="Arial" w:eastAsia="Arial" w:cs="Arial"/>
          <w:b/>
          <w:lang w:val="sr-Cyrl-RS"/>
        </w:rPr>
        <w:br w:type="column"/>
      </w:r>
    </w:p>
    <w:p>
      <w:pPr>
        <w:spacing w:line="1" w:lineRule="exact"/>
        <w:rPr>
          <w:rFonts w:ascii="Arial" w:hAnsi="Arial" w:cs="Arial"/>
          <w:lang w:val="sr-Cyrl-RS"/>
        </w:rPr>
      </w:pPr>
    </w:p>
    <w:tbl>
      <w:tblPr>
        <w:tblStyle w:val="6"/>
        <w:tblW w:w="0" w:type="auto"/>
        <w:tblInd w:w="0" w:type="dxa"/>
        <w:tblLayout w:type="fixed"/>
        <w:tblCellMar>
          <w:top w:w="0" w:type="dxa"/>
          <w:left w:w="0" w:type="dxa"/>
          <w:bottom w:w="0" w:type="dxa"/>
          <w:right w:w="0" w:type="dxa"/>
        </w:tblCellMar>
      </w:tblPr>
      <w:tblGrid>
        <w:gridCol w:w="80"/>
        <w:gridCol w:w="1780"/>
        <w:gridCol w:w="100"/>
        <w:gridCol w:w="1240"/>
        <w:gridCol w:w="840"/>
        <w:gridCol w:w="720"/>
        <w:gridCol w:w="840"/>
        <w:gridCol w:w="1160"/>
      </w:tblGrid>
      <w:tr>
        <w:tblPrEx>
          <w:tblCellMar>
            <w:top w:w="0" w:type="dxa"/>
            <w:left w:w="0" w:type="dxa"/>
            <w:bottom w:w="0" w:type="dxa"/>
            <w:right w:w="0" w:type="dxa"/>
          </w:tblCellMar>
        </w:tblPrEx>
        <w:trPr>
          <w:trHeight w:val="65" w:hRule="atLeast"/>
        </w:trPr>
        <w:tc>
          <w:tcPr>
            <w:tcW w:w="80" w:type="dxa"/>
            <w:shd w:val="clear" w:color="auto" w:fill="C1D5F4"/>
            <w:vAlign w:val="bottom"/>
          </w:tcPr>
          <w:p>
            <w:pPr>
              <w:spacing w:line="0" w:lineRule="atLeast"/>
              <w:rPr>
                <w:rFonts w:ascii="Arial" w:hAnsi="Arial" w:cs="Arial"/>
                <w:lang w:val="sr-Cyrl-RS"/>
              </w:rPr>
            </w:pPr>
          </w:p>
        </w:tc>
        <w:tc>
          <w:tcPr>
            <w:tcW w:w="1780" w:type="dxa"/>
            <w:vMerge w:val="restart"/>
            <w:shd w:val="clear" w:color="auto" w:fill="C1D5F4"/>
            <w:vAlign w:val="bottom"/>
          </w:tcPr>
          <w:p>
            <w:pPr>
              <w:spacing w:line="0" w:lineRule="atLeast"/>
              <w:rPr>
                <w:rFonts w:ascii="Arial" w:hAnsi="Arial" w:eastAsia="Arial" w:cs="Arial"/>
                <w:b/>
                <w:w w:val="99"/>
                <w:shd w:val="clear" w:color="auto" w:fill="C1D5F4"/>
                <w:lang w:val="sr-Cyrl-RS"/>
              </w:rPr>
            </w:pPr>
            <w:r>
              <w:rPr>
                <w:rFonts w:ascii="Arial" w:hAnsi="Arial" w:eastAsia="Arial" w:cs="Arial"/>
                <w:b/>
                <w:w w:val="99"/>
                <w:shd w:val="clear" w:color="auto" w:fill="C1D5F4"/>
                <w:lang w:val="sr-Cyrl-RS"/>
              </w:rPr>
              <w:t>Регион јужне и</w:t>
            </w: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shd w:val="clear" w:color="auto" w:fill="auto"/>
            <w:vAlign w:val="bottom"/>
          </w:tcPr>
          <w:p>
            <w:pPr>
              <w:spacing w:line="0" w:lineRule="atLeast"/>
              <w:rPr>
                <w:rFonts w:ascii="Arial" w:hAnsi="Arial" w:cs="Arial"/>
                <w:lang w:val="sr-Cyrl-RS"/>
              </w:rPr>
            </w:pPr>
          </w:p>
        </w:tc>
        <w:tc>
          <w:tcPr>
            <w:tcW w:w="840" w:type="dxa"/>
            <w:shd w:val="clear" w:color="auto" w:fill="auto"/>
            <w:vAlign w:val="bottom"/>
          </w:tcPr>
          <w:p>
            <w:pPr>
              <w:spacing w:line="0" w:lineRule="atLeast"/>
              <w:rPr>
                <w:rFonts w:ascii="Arial" w:hAnsi="Arial" w:cs="Arial"/>
                <w:lang w:val="sr-Cyrl-RS"/>
              </w:rPr>
            </w:pPr>
          </w:p>
        </w:tc>
        <w:tc>
          <w:tcPr>
            <w:tcW w:w="720" w:type="dxa"/>
            <w:tcBorders>
              <w:right w:val="single" w:color="CDCDCD" w:sz="8" w:space="0"/>
            </w:tcBorders>
            <w:shd w:val="clear" w:color="auto" w:fill="auto"/>
            <w:vAlign w:val="bottom"/>
          </w:tcPr>
          <w:p>
            <w:pPr>
              <w:spacing w:line="0" w:lineRule="atLeast"/>
              <w:rPr>
                <w:rFonts w:ascii="Arial" w:hAnsi="Arial" w:cs="Arial"/>
                <w:lang w:val="sr-Cyrl-RS"/>
              </w:rPr>
            </w:pPr>
          </w:p>
        </w:tc>
        <w:tc>
          <w:tcPr>
            <w:tcW w:w="840" w:type="dxa"/>
            <w:tcBorders>
              <w:right w:val="single" w:color="CDCDCD" w:sz="8" w:space="0"/>
            </w:tcBorders>
            <w:shd w:val="clear" w:color="auto" w:fill="auto"/>
            <w:vAlign w:val="bottom"/>
          </w:tcPr>
          <w:p>
            <w:pPr>
              <w:spacing w:line="0" w:lineRule="atLeast"/>
              <w:rPr>
                <w:rFonts w:ascii="Arial" w:hAnsi="Arial" w:cs="Arial"/>
                <w:lang w:val="sr-Cyrl-RS"/>
              </w:rPr>
            </w:pPr>
          </w:p>
        </w:tc>
        <w:tc>
          <w:tcPr>
            <w:tcW w:w="116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75" w:hRule="atLeast"/>
        </w:trPr>
        <w:tc>
          <w:tcPr>
            <w:tcW w:w="80" w:type="dxa"/>
            <w:shd w:val="clear" w:color="auto" w:fill="C1D5F4"/>
            <w:vAlign w:val="bottom"/>
          </w:tcPr>
          <w:p>
            <w:pPr>
              <w:spacing w:line="0" w:lineRule="atLeast"/>
              <w:rPr>
                <w:rFonts w:ascii="Arial" w:hAnsi="Arial" w:cs="Arial"/>
                <w:lang w:val="sr-Cyrl-RS"/>
              </w:rPr>
            </w:pPr>
          </w:p>
        </w:tc>
        <w:tc>
          <w:tcPr>
            <w:tcW w:w="1780" w:type="dxa"/>
            <w:vMerge w:val="continue"/>
            <w:shd w:val="clear" w:color="auto" w:fill="C1D5F4"/>
            <w:vAlign w:val="bottom"/>
          </w:tcPr>
          <w:p>
            <w:pPr>
              <w:spacing w:line="0" w:lineRule="atLeast"/>
              <w:rPr>
                <w:rFonts w:ascii="Arial" w:hAnsi="Arial" w:cs="Arial"/>
                <w:lang w:val="sr-Cyrl-RS"/>
              </w:rPr>
            </w:pP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shd w:val="clear" w:color="auto" w:fill="auto"/>
            <w:vAlign w:val="bottom"/>
          </w:tcPr>
          <w:p>
            <w:pPr>
              <w:spacing w:line="0" w:lineRule="atLeast"/>
              <w:rPr>
                <w:rFonts w:ascii="Arial" w:hAnsi="Arial" w:cs="Arial"/>
                <w:lang w:val="sr-Cyrl-RS"/>
              </w:rPr>
            </w:pPr>
          </w:p>
        </w:tc>
        <w:tc>
          <w:tcPr>
            <w:tcW w:w="840" w:type="dxa"/>
            <w:shd w:val="clear" w:color="auto" w:fill="auto"/>
            <w:vAlign w:val="bottom"/>
          </w:tcPr>
          <w:p>
            <w:pPr>
              <w:spacing w:line="0" w:lineRule="atLeast"/>
              <w:rPr>
                <w:rFonts w:ascii="Arial" w:hAnsi="Arial" w:cs="Arial"/>
                <w:lang w:val="sr-Cyrl-RS"/>
              </w:rPr>
            </w:pPr>
          </w:p>
        </w:tc>
        <w:tc>
          <w:tcPr>
            <w:tcW w:w="720" w:type="dxa"/>
            <w:tcBorders>
              <w:right w:val="single" w:color="CDCDCD" w:sz="8" w:space="0"/>
            </w:tcBorders>
            <w:shd w:val="clear" w:color="auto" w:fill="auto"/>
            <w:vAlign w:val="bottom"/>
          </w:tcPr>
          <w:p>
            <w:pPr>
              <w:spacing w:line="0" w:lineRule="atLeast"/>
              <w:rPr>
                <w:rFonts w:ascii="Arial" w:hAnsi="Arial" w:cs="Arial"/>
                <w:lang w:val="sr-Cyrl-RS"/>
              </w:rPr>
            </w:pPr>
          </w:p>
        </w:tc>
        <w:tc>
          <w:tcPr>
            <w:tcW w:w="840" w:type="dxa"/>
            <w:tcBorders>
              <w:right w:val="single" w:color="CDCDCD" w:sz="8" w:space="0"/>
            </w:tcBorders>
            <w:shd w:val="clear" w:color="auto" w:fill="auto"/>
            <w:vAlign w:val="bottom"/>
          </w:tcPr>
          <w:p>
            <w:pPr>
              <w:spacing w:line="0" w:lineRule="atLeast"/>
              <w:rPr>
                <w:rFonts w:ascii="Arial" w:hAnsi="Arial" w:cs="Arial"/>
                <w:lang w:val="sr-Cyrl-RS"/>
              </w:rPr>
            </w:pPr>
          </w:p>
        </w:tc>
        <w:tc>
          <w:tcPr>
            <w:tcW w:w="116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6" w:hRule="atLeast"/>
        </w:trPr>
        <w:tc>
          <w:tcPr>
            <w:tcW w:w="80" w:type="dxa"/>
            <w:shd w:val="clear" w:color="auto" w:fill="C1D5F4"/>
            <w:vAlign w:val="bottom"/>
          </w:tcPr>
          <w:p>
            <w:pPr>
              <w:spacing w:line="0" w:lineRule="atLeast"/>
              <w:rPr>
                <w:rFonts w:ascii="Arial" w:hAnsi="Arial" w:cs="Arial"/>
                <w:lang w:val="sr-Cyrl-RS"/>
              </w:rPr>
            </w:pPr>
          </w:p>
        </w:tc>
        <w:tc>
          <w:tcPr>
            <w:tcW w:w="1780" w:type="dxa"/>
            <w:shd w:val="clear" w:color="auto" w:fill="C1D5F4"/>
            <w:vAlign w:val="bottom"/>
          </w:tcPr>
          <w:p>
            <w:pPr>
              <w:spacing w:line="0" w:lineRule="atLeast"/>
              <w:rPr>
                <w:rFonts w:ascii="Arial" w:hAnsi="Arial" w:eastAsia="Arial" w:cs="Arial"/>
                <w:b/>
                <w:lang w:val="sr-Cyrl-RS"/>
              </w:rPr>
            </w:pPr>
            <w:r>
              <w:rPr>
                <w:rFonts w:ascii="Arial" w:hAnsi="Arial" w:eastAsia="Arial" w:cs="Arial"/>
                <w:b/>
                <w:lang w:val="sr-Cyrl-RS"/>
              </w:rPr>
              <w:t>источне</w:t>
            </w: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shd w:val="clear" w:color="auto" w:fill="auto"/>
            <w:vAlign w:val="bottom"/>
          </w:tcPr>
          <w:p>
            <w:pPr>
              <w:spacing w:line="0" w:lineRule="atLeast"/>
              <w:rPr>
                <w:rFonts w:ascii="Arial" w:hAnsi="Arial" w:cs="Arial"/>
                <w:lang w:val="sr-Cyrl-RS"/>
              </w:rPr>
            </w:pPr>
          </w:p>
        </w:tc>
        <w:tc>
          <w:tcPr>
            <w:tcW w:w="840" w:type="dxa"/>
            <w:shd w:val="clear" w:color="auto" w:fill="auto"/>
            <w:vAlign w:val="bottom"/>
          </w:tcPr>
          <w:p>
            <w:pPr>
              <w:spacing w:line="0" w:lineRule="atLeast"/>
              <w:rPr>
                <w:rFonts w:ascii="Arial" w:hAnsi="Arial" w:cs="Arial"/>
                <w:lang w:val="sr-Cyrl-RS"/>
              </w:rPr>
            </w:pPr>
          </w:p>
        </w:tc>
        <w:tc>
          <w:tcPr>
            <w:tcW w:w="720" w:type="dxa"/>
            <w:tcBorders>
              <w:right w:val="single" w:color="CDCDCD" w:sz="8" w:space="0"/>
            </w:tcBorders>
            <w:shd w:val="clear" w:color="auto" w:fill="auto"/>
            <w:vAlign w:val="bottom"/>
          </w:tcPr>
          <w:p>
            <w:pPr>
              <w:spacing w:line="0" w:lineRule="atLeast"/>
              <w:rPr>
                <w:rFonts w:ascii="Arial" w:hAnsi="Arial" w:cs="Arial"/>
                <w:lang w:val="sr-Cyrl-RS"/>
              </w:rPr>
            </w:pPr>
          </w:p>
        </w:tc>
        <w:tc>
          <w:tcPr>
            <w:tcW w:w="840" w:type="dxa"/>
            <w:tcBorders>
              <w:right w:val="single" w:color="CDCDCD" w:sz="8" w:space="0"/>
            </w:tcBorders>
            <w:shd w:val="clear" w:color="auto" w:fill="auto"/>
            <w:vAlign w:val="bottom"/>
          </w:tcPr>
          <w:p>
            <w:pPr>
              <w:spacing w:line="0" w:lineRule="atLeast"/>
              <w:rPr>
                <w:rFonts w:ascii="Arial" w:hAnsi="Arial" w:cs="Arial"/>
                <w:lang w:val="sr-Cyrl-RS"/>
              </w:rPr>
            </w:pPr>
          </w:p>
        </w:tc>
        <w:tc>
          <w:tcPr>
            <w:tcW w:w="116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20" w:hRule="atLeast"/>
        </w:trPr>
        <w:tc>
          <w:tcPr>
            <w:tcW w:w="80" w:type="dxa"/>
            <w:shd w:val="clear" w:color="auto" w:fill="C1D5F4"/>
            <w:vAlign w:val="bottom"/>
          </w:tcPr>
          <w:p>
            <w:pPr>
              <w:spacing w:line="0" w:lineRule="atLeast"/>
              <w:rPr>
                <w:rFonts w:ascii="Arial" w:hAnsi="Arial" w:cs="Arial"/>
                <w:lang w:val="sr-Cyrl-RS"/>
              </w:rPr>
            </w:pPr>
          </w:p>
        </w:tc>
        <w:tc>
          <w:tcPr>
            <w:tcW w:w="1780" w:type="dxa"/>
            <w:shd w:val="clear" w:color="auto" w:fill="C1D5F4"/>
            <w:vAlign w:val="bottom"/>
          </w:tcPr>
          <w:p>
            <w:pPr>
              <w:spacing w:line="0" w:lineRule="atLeast"/>
              <w:rPr>
                <w:rFonts w:ascii="Arial" w:hAnsi="Arial" w:eastAsia="Arial" w:cs="Arial"/>
                <w:b/>
                <w:lang w:val="sr-Cyrl-RS"/>
              </w:rPr>
            </w:pPr>
            <w:r>
              <w:rPr>
                <w:rFonts w:ascii="Arial" w:hAnsi="Arial" w:eastAsia="Arial" w:cs="Arial"/>
                <w:b/>
                <w:lang w:val="sr-Cyrl-RS"/>
              </w:rPr>
              <w:t>Србије</w:t>
            </w: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shd w:val="clear" w:color="auto" w:fill="auto"/>
            <w:vAlign w:val="bottom"/>
          </w:tcPr>
          <w:p>
            <w:pPr>
              <w:spacing w:line="0" w:lineRule="atLeast"/>
              <w:ind w:right="100"/>
              <w:jc w:val="right"/>
              <w:rPr>
                <w:rFonts w:ascii="Arial" w:hAnsi="Arial" w:eastAsia="Arial" w:cs="Arial"/>
                <w:lang w:val="sr-Cyrl-RS"/>
              </w:rPr>
            </w:pPr>
            <w:r>
              <w:rPr>
                <w:rFonts w:ascii="Arial" w:hAnsi="Arial" w:eastAsia="Arial" w:cs="Arial"/>
                <w:lang w:val="sr-Cyrl-RS"/>
              </w:rPr>
              <w:t>-10.0</w:t>
            </w:r>
          </w:p>
        </w:tc>
        <w:tc>
          <w:tcPr>
            <w:tcW w:w="840" w:type="dxa"/>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-10.0</w:t>
            </w:r>
          </w:p>
        </w:tc>
        <w:tc>
          <w:tcPr>
            <w:tcW w:w="720" w:type="dxa"/>
            <w:tcBorders>
              <w:right w:val="single" w:color="CDCDCD" w:sz="8" w:space="0"/>
            </w:tcBorders>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-9.9</w:t>
            </w:r>
          </w:p>
        </w:tc>
        <w:tc>
          <w:tcPr>
            <w:tcW w:w="840" w:type="dxa"/>
            <w:tcBorders>
              <w:right w:val="single" w:color="CDCDCD" w:sz="8" w:space="0"/>
            </w:tcBorders>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-12.3</w:t>
            </w:r>
          </w:p>
        </w:tc>
        <w:tc>
          <w:tcPr>
            <w:tcW w:w="1160" w:type="dxa"/>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-15.3</w:t>
            </w:r>
          </w:p>
        </w:tc>
      </w:tr>
      <w:tr>
        <w:tblPrEx>
          <w:tblCellMar>
            <w:top w:w="0" w:type="dxa"/>
            <w:left w:w="0" w:type="dxa"/>
            <w:bottom w:w="0" w:type="dxa"/>
            <w:right w:w="0" w:type="dxa"/>
          </w:tblCellMar>
        </w:tblPrEx>
        <w:trPr>
          <w:trHeight w:val="40" w:hRule="atLeast"/>
        </w:trPr>
        <w:tc>
          <w:tcPr>
            <w:tcW w:w="80" w:type="dxa"/>
            <w:shd w:val="clear" w:color="auto" w:fill="C1D5F4"/>
            <w:vAlign w:val="bottom"/>
          </w:tcPr>
          <w:p>
            <w:pPr>
              <w:spacing w:line="0" w:lineRule="atLeast"/>
              <w:rPr>
                <w:rFonts w:ascii="Arial" w:hAnsi="Arial" w:cs="Arial"/>
                <w:lang w:val="sr-Cyrl-RS"/>
              </w:rPr>
            </w:pPr>
          </w:p>
        </w:tc>
        <w:tc>
          <w:tcPr>
            <w:tcW w:w="1780" w:type="dxa"/>
            <w:shd w:val="clear" w:color="auto" w:fill="C1D5F4"/>
            <w:vAlign w:val="bottom"/>
          </w:tcPr>
          <w:p>
            <w:pPr>
              <w:spacing w:line="0" w:lineRule="atLeast"/>
              <w:rPr>
                <w:rFonts w:ascii="Arial" w:hAnsi="Arial" w:cs="Arial"/>
                <w:lang w:val="sr-Cyrl-RS"/>
              </w:rPr>
            </w:pP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shd w:val="clear" w:color="auto" w:fill="auto"/>
            <w:vAlign w:val="bottom"/>
          </w:tcPr>
          <w:p>
            <w:pPr>
              <w:spacing w:line="0" w:lineRule="atLeast"/>
              <w:rPr>
                <w:rFonts w:ascii="Arial" w:hAnsi="Arial" w:cs="Arial"/>
                <w:lang w:val="sr-Cyrl-RS"/>
              </w:rPr>
            </w:pPr>
          </w:p>
        </w:tc>
        <w:tc>
          <w:tcPr>
            <w:tcW w:w="840" w:type="dxa"/>
            <w:shd w:val="clear" w:color="auto" w:fill="auto"/>
            <w:vAlign w:val="bottom"/>
          </w:tcPr>
          <w:p>
            <w:pPr>
              <w:spacing w:line="0" w:lineRule="atLeast"/>
              <w:rPr>
                <w:rFonts w:ascii="Arial" w:hAnsi="Arial" w:cs="Arial"/>
                <w:lang w:val="sr-Cyrl-RS"/>
              </w:rPr>
            </w:pPr>
          </w:p>
        </w:tc>
        <w:tc>
          <w:tcPr>
            <w:tcW w:w="720" w:type="dxa"/>
            <w:tcBorders>
              <w:right w:val="single" w:color="CDCDCD" w:sz="8" w:space="0"/>
            </w:tcBorders>
            <w:shd w:val="clear" w:color="auto" w:fill="auto"/>
            <w:vAlign w:val="bottom"/>
          </w:tcPr>
          <w:p>
            <w:pPr>
              <w:spacing w:line="0" w:lineRule="atLeast"/>
              <w:rPr>
                <w:rFonts w:ascii="Arial" w:hAnsi="Arial" w:cs="Arial"/>
                <w:lang w:val="sr-Cyrl-RS"/>
              </w:rPr>
            </w:pPr>
          </w:p>
        </w:tc>
        <w:tc>
          <w:tcPr>
            <w:tcW w:w="840" w:type="dxa"/>
            <w:tcBorders>
              <w:right w:val="single" w:color="CDCDCD" w:sz="8" w:space="0"/>
            </w:tcBorders>
            <w:shd w:val="clear" w:color="auto" w:fill="auto"/>
            <w:vAlign w:val="bottom"/>
          </w:tcPr>
          <w:p>
            <w:pPr>
              <w:spacing w:line="0" w:lineRule="atLeast"/>
              <w:rPr>
                <w:rFonts w:ascii="Arial" w:hAnsi="Arial" w:cs="Arial"/>
                <w:lang w:val="sr-Cyrl-RS"/>
              </w:rPr>
            </w:pPr>
          </w:p>
        </w:tc>
        <w:tc>
          <w:tcPr>
            <w:tcW w:w="116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75" w:hRule="atLeast"/>
        </w:trPr>
        <w:tc>
          <w:tcPr>
            <w:tcW w:w="80" w:type="dxa"/>
            <w:tcBorders>
              <w:bottom w:val="single" w:color="C1D5F4" w:sz="8" w:space="0"/>
            </w:tcBorders>
            <w:shd w:val="clear" w:color="auto" w:fill="C1D5F4"/>
            <w:vAlign w:val="bottom"/>
          </w:tcPr>
          <w:p>
            <w:pPr>
              <w:spacing w:line="0" w:lineRule="atLeast"/>
              <w:rPr>
                <w:rFonts w:ascii="Arial" w:hAnsi="Arial" w:cs="Arial"/>
                <w:lang w:val="sr-Cyrl-RS"/>
              </w:rPr>
            </w:pPr>
          </w:p>
        </w:tc>
        <w:tc>
          <w:tcPr>
            <w:tcW w:w="1780" w:type="dxa"/>
            <w:tcBorders>
              <w:bottom w:val="single" w:color="C1D5F4" w:sz="8" w:space="0"/>
            </w:tcBorders>
            <w:shd w:val="clear" w:color="auto" w:fill="C1D5F4"/>
            <w:vAlign w:val="bottom"/>
          </w:tcPr>
          <w:p>
            <w:pPr>
              <w:spacing w:line="0" w:lineRule="atLeast"/>
              <w:rPr>
                <w:rFonts w:ascii="Arial" w:hAnsi="Arial" w:cs="Arial"/>
                <w:lang w:val="sr-Cyrl-RS"/>
              </w:rPr>
            </w:pPr>
          </w:p>
        </w:tc>
        <w:tc>
          <w:tcPr>
            <w:tcW w:w="100" w:type="dxa"/>
            <w:tcBorders>
              <w:bottom w:val="single" w:color="C1D5F4" w:sz="8" w:space="0"/>
              <w:right w:val="single" w:color="C1D5F4" w:sz="8" w:space="0"/>
            </w:tcBorders>
            <w:shd w:val="clear" w:color="auto" w:fill="C1D5F4"/>
            <w:vAlign w:val="bottom"/>
          </w:tcPr>
          <w:p>
            <w:pPr>
              <w:spacing w:line="0" w:lineRule="atLeast"/>
              <w:rPr>
                <w:rFonts w:ascii="Arial" w:hAnsi="Arial" w:cs="Arial"/>
                <w:lang w:val="sr-Cyrl-RS"/>
              </w:rPr>
            </w:pPr>
          </w:p>
        </w:tc>
        <w:tc>
          <w:tcPr>
            <w:tcW w:w="1240" w:type="dxa"/>
            <w:tcBorders>
              <w:left w:val="single" w:color="C1D5F4" w:sz="8" w:space="0"/>
              <w:bottom w:val="single" w:color="CDCDCD" w:sz="8" w:space="0"/>
            </w:tcBorders>
            <w:shd w:val="clear" w:color="auto" w:fill="auto"/>
            <w:vAlign w:val="bottom"/>
          </w:tcPr>
          <w:p>
            <w:pPr>
              <w:spacing w:line="0" w:lineRule="atLeast"/>
              <w:rPr>
                <w:rFonts w:ascii="Arial" w:hAnsi="Arial" w:cs="Arial"/>
                <w:lang w:val="sr-Cyrl-RS"/>
              </w:rPr>
            </w:pPr>
          </w:p>
        </w:tc>
        <w:tc>
          <w:tcPr>
            <w:tcW w:w="840" w:type="dxa"/>
            <w:tcBorders>
              <w:bottom w:val="single" w:color="CDCDCD" w:sz="8" w:space="0"/>
            </w:tcBorders>
            <w:shd w:val="clear" w:color="auto" w:fill="auto"/>
            <w:vAlign w:val="bottom"/>
          </w:tcPr>
          <w:p>
            <w:pPr>
              <w:spacing w:line="0" w:lineRule="atLeast"/>
              <w:rPr>
                <w:rFonts w:ascii="Arial" w:hAnsi="Arial" w:cs="Arial"/>
                <w:lang w:val="sr-Cyrl-RS"/>
              </w:rPr>
            </w:pPr>
          </w:p>
        </w:tc>
        <w:tc>
          <w:tcPr>
            <w:tcW w:w="720" w:type="dxa"/>
            <w:tcBorders>
              <w:bottom w:val="single" w:color="CDCDCD" w:sz="8" w:space="0"/>
              <w:right w:val="single" w:color="CDCDCD" w:sz="8" w:space="0"/>
            </w:tcBorders>
            <w:shd w:val="clear" w:color="auto" w:fill="auto"/>
            <w:vAlign w:val="bottom"/>
          </w:tcPr>
          <w:p>
            <w:pPr>
              <w:spacing w:line="0" w:lineRule="atLeast"/>
              <w:rPr>
                <w:rFonts w:ascii="Arial" w:hAnsi="Arial" w:cs="Arial"/>
                <w:lang w:val="sr-Cyrl-RS"/>
              </w:rPr>
            </w:pPr>
          </w:p>
        </w:tc>
        <w:tc>
          <w:tcPr>
            <w:tcW w:w="840" w:type="dxa"/>
            <w:tcBorders>
              <w:bottom w:val="single" w:color="CDCDCD" w:sz="8" w:space="0"/>
              <w:right w:val="single" w:color="CDCDCD" w:sz="8" w:space="0"/>
            </w:tcBorders>
            <w:shd w:val="clear" w:color="auto" w:fill="auto"/>
            <w:vAlign w:val="bottom"/>
          </w:tcPr>
          <w:p>
            <w:pPr>
              <w:spacing w:line="0" w:lineRule="atLeast"/>
              <w:rPr>
                <w:rFonts w:ascii="Arial" w:hAnsi="Arial" w:cs="Arial"/>
                <w:lang w:val="sr-Cyrl-RS"/>
              </w:rPr>
            </w:pPr>
          </w:p>
        </w:tc>
        <w:tc>
          <w:tcPr>
            <w:tcW w:w="1160" w:type="dxa"/>
            <w:tcBorders>
              <w:bottom w:val="single" w:color="CDCDCD"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45" w:hRule="atLeast"/>
        </w:trPr>
        <w:tc>
          <w:tcPr>
            <w:tcW w:w="80" w:type="dxa"/>
            <w:shd w:val="clear" w:color="auto" w:fill="C1D5F4"/>
            <w:vAlign w:val="bottom"/>
          </w:tcPr>
          <w:p>
            <w:pPr>
              <w:spacing w:line="0" w:lineRule="atLeast"/>
              <w:rPr>
                <w:rFonts w:ascii="Arial" w:hAnsi="Arial" w:cs="Arial"/>
                <w:lang w:val="sr-Cyrl-RS"/>
              </w:rPr>
            </w:pPr>
          </w:p>
        </w:tc>
        <w:tc>
          <w:tcPr>
            <w:tcW w:w="1780" w:type="dxa"/>
            <w:shd w:val="clear" w:color="auto" w:fill="C1D5F4"/>
            <w:vAlign w:val="bottom"/>
          </w:tcPr>
          <w:p>
            <w:pPr>
              <w:spacing w:line="0" w:lineRule="atLeast"/>
              <w:rPr>
                <w:rFonts w:ascii="Arial" w:hAnsi="Arial" w:eastAsia="Arial" w:cs="Arial"/>
                <w:b/>
                <w:lang w:val="sr-Cyrl-RS"/>
              </w:rPr>
            </w:pPr>
            <w:r>
              <w:rPr>
                <w:rFonts w:ascii="Arial" w:hAnsi="Arial" w:eastAsia="Arial" w:cs="Arial"/>
                <w:b/>
                <w:lang w:val="sr-Cyrl-RS"/>
              </w:rPr>
              <w:t>Гаџин Хан</w:t>
            </w: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shd w:val="clear" w:color="auto" w:fill="auto"/>
            <w:vAlign w:val="bottom"/>
          </w:tcPr>
          <w:p>
            <w:pPr>
              <w:spacing w:line="0" w:lineRule="atLeast"/>
              <w:ind w:right="100"/>
              <w:jc w:val="right"/>
              <w:rPr>
                <w:rFonts w:ascii="Arial" w:hAnsi="Arial" w:eastAsia="Arial" w:cs="Arial"/>
                <w:lang w:val="sr-Cyrl-RS"/>
              </w:rPr>
            </w:pPr>
            <w:r>
              <w:rPr>
                <w:rFonts w:ascii="Arial" w:hAnsi="Arial" w:eastAsia="Arial" w:cs="Arial"/>
                <w:lang w:val="sr-Cyrl-RS"/>
              </w:rPr>
              <w:t>-29.9</w:t>
            </w:r>
          </w:p>
        </w:tc>
        <w:tc>
          <w:tcPr>
            <w:tcW w:w="840" w:type="dxa"/>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-29.8</w:t>
            </w:r>
          </w:p>
        </w:tc>
        <w:tc>
          <w:tcPr>
            <w:tcW w:w="720" w:type="dxa"/>
            <w:tcBorders>
              <w:right w:val="single" w:color="CDCDCD" w:sz="8" w:space="0"/>
            </w:tcBorders>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-29.0</w:t>
            </w:r>
          </w:p>
        </w:tc>
        <w:tc>
          <w:tcPr>
            <w:tcW w:w="840" w:type="dxa"/>
            <w:tcBorders>
              <w:right w:val="single" w:color="CDCDCD" w:sz="8" w:space="0"/>
            </w:tcBorders>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-21.3</w:t>
            </w:r>
          </w:p>
        </w:tc>
        <w:tc>
          <w:tcPr>
            <w:tcW w:w="1160" w:type="dxa"/>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-44.4</w:t>
            </w:r>
          </w:p>
        </w:tc>
      </w:tr>
      <w:tr>
        <w:tblPrEx>
          <w:tblCellMar>
            <w:top w:w="0" w:type="dxa"/>
            <w:left w:w="0" w:type="dxa"/>
            <w:bottom w:w="0" w:type="dxa"/>
            <w:right w:w="0" w:type="dxa"/>
          </w:tblCellMar>
        </w:tblPrEx>
        <w:trPr>
          <w:trHeight w:val="120" w:hRule="atLeast"/>
        </w:trPr>
        <w:tc>
          <w:tcPr>
            <w:tcW w:w="80" w:type="dxa"/>
            <w:shd w:val="clear" w:color="auto" w:fill="C1D5F4"/>
            <w:vAlign w:val="bottom"/>
          </w:tcPr>
          <w:p>
            <w:pPr>
              <w:spacing w:line="0" w:lineRule="atLeast"/>
              <w:rPr>
                <w:rFonts w:ascii="Arial" w:hAnsi="Arial" w:cs="Arial"/>
                <w:lang w:val="sr-Cyrl-RS"/>
              </w:rPr>
            </w:pPr>
          </w:p>
        </w:tc>
        <w:tc>
          <w:tcPr>
            <w:tcW w:w="1780" w:type="dxa"/>
            <w:shd w:val="clear" w:color="auto" w:fill="C1D5F4"/>
            <w:vAlign w:val="bottom"/>
          </w:tcPr>
          <w:p>
            <w:pPr>
              <w:spacing w:line="0" w:lineRule="atLeast"/>
              <w:rPr>
                <w:rFonts w:ascii="Arial" w:hAnsi="Arial" w:cs="Arial"/>
                <w:lang w:val="sr-Cyrl-RS"/>
              </w:rPr>
            </w:pPr>
          </w:p>
        </w:tc>
        <w:tc>
          <w:tcPr>
            <w:tcW w:w="100" w:type="dxa"/>
            <w:tcBorders>
              <w:right w:val="single" w:color="C1D5F4" w:sz="8" w:space="0"/>
            </w:tcBorders>
            <w:shd w:val="clear" w:color="auto" w:fill="C1D5F4"/>
            <w:vAlign w:val="bottom"/>
          </w:tcPr>
          <w:p>
            <w:pPr>
              <w:spacing w:line="0" w:lineRule="atLeast"/>
              <w:rPr>
                <w:rFonts w:ascii="Arial" w:hAnsi="Arial" w:cs="Arial"/>
                <w:lang w:val="sr-Cyrl-RS"/>
              </w:rPr>
            </w:pPr>
          </w:p>
        </w:tc>
        <w:tc>
          <w:tcPr>
            <w:tcW w:w="1240" w:type="dxa"/>
            <w:tcBorders>
              <w:bottom w:val="single" w:color="CDCDCD" w:sz="8" w:space="0"/>
            </w:tcBorders>
            <w:shd w:val="clear" w:color="auto" w:fill="auto"/>
            <w:vAlign w:val="bottom"/>
          </w:tcPr>
          <w:p>
            <w:pPr>
              <w:spacing w:line="0" w:lineRule="atLeast"/>
              <w:rPr>
                <w:rFonts w:ascii="Arial" w:hAnsi="Arial" w:cs="Arial"/>
                <w:lang w:val="sr-Cyrl-RS"/>
              </w:rPr>
            </w:pPr>
          </w:p>
        </w:tc>
        <w:tc>
          <w:tcPr>
            <w:tcW w:w="840" w:type="dxa"/>
            <w:tcBorders>
              <w:bottom w:val="single" w:color="CDCDCD" w:sz="8" w:space="0"/>
            </w:tcBorders>
            <w:shd w:val="clear" w:color="auto" w:fill="auto"/>
            <w:vAlign w:val="bottom"/>
          </w:tcPr>
          <w:p>
            <w:pPr>
              <w:spacing w:line="0" w:lineRule="atLeast"/>
              <w:rPr>
                <w:rFonts w:ascii="Arial" w:hAnsi="Arial" w:cs="Arial"/>
                <w:lang w:val="sr-Cyrl-RS"/>
              </w:rPr>
            </w:pPr>
          </w:p>
        </w:tc>
        <w:tc>
          <w:tcPr>
            <w:tcW w:w="720" w:type="dxa"/>
            <w:tcBorders>
              <w:bottom w:val="single" w:color="CDCDCD" w:sz="8" w:space="0"/>
              <w:right w:val="single" w:color="CDCDCD" w:sz="8" w:space="0"/>
            </w:tcBorders>
            <w:shd w:val="clear" w:color="auto" w:fill="auto"/>
            <w:vAlign w:val="bottom"/>
          </w:tcPr>
          <w:p>
            <w:pPr>
              <w:spacing w:line="0" w:lineRule="atLeast"/>
              <w:rPr>
                <w:rFonts w:ascii="Arial" w:hAnsi="Arial" w:cs="Arial"/>
                <w:lang w:val="sr-Cyrl-RS"/>
              </w:rPr>
            </w:pPr>
          </w:p>
        </w:tc>
        <w:tc>
          <w:tcPr>
            <w:tcW w:w="840" w:type="dxa"/>
            <w:tcBorders>
              <w:bottom w:val="single" w:color="CDCDCD" w:sz="8" w:space="0"/>
              <w:right w:val="single" w:color="CDCDCD" w:sz="8" w:space="0"/>
            </w:tcBorders>
            <w:shd w:val="clear" w:color="auto" w:fill="auto"/>
            <w:vAlign w:val="bottom"/>
          </w:tcPr>
          <w:p>
            <w:pPr>
              <w:spacing w:line="0" w:lineRule="atLeast"/>
              <w:rPr>
                <w:rFonts w:ascii="Arial" w:hAnsi="Arial" w:cs="Arial"/>
                <w:lang w:val="sr-Cyrl-RS"/>
              </w:rPr>
            </w:pPr>
          </w:p>
        </w:tc>
        <w:tc>
          <w:tcPr>
            <w:tcW w:w="1160" w:type="dxa"/>
            <w:tcBorders>
              <w:bottom w:val="single" w:color="CDCDCD" w:sz="8" w:space="0"/>
            </w:tcBorders>
            <w:shd w:val="clear" w:color="auto" w:fill="auto"/>
            <w:vAlign w:val="bottom"/>
          </w:tcPr>
          <w:p>
            <w:pPr>
              <w:spacing w:line="0" w:lineRule="atLeast"/>
              <w:rPr>
                <w:rFonts w:ascii="Arial" w:hAnsi="Arial" w:cs="Arial"/>
                <w:lang w:val="sr-Cyrl-RS"/>
              </w:rPr>
            </w:pPr>
          </w:p>
        </w:tc>
      </w:tr>
    </w:tbl>
    <w:p>
      <w:pPr>
        <w:rPr>
          <w:rFonts w:ascii="Arial" w:hAnsi="Arial" w:cs="Arial"/>
          <w:lang w:val="sr-Cyrl-RS"/>
        </w:rPr>
        <w:sectPr>
          <w:type w:val="continuous"/>
          <w:pgSz w:w="11900" w:h="16840"/>
          <w:pgMar w:top="707" w:right="1425" w:bottom="551" w:left="1440" w:header="0" w:footer="0" w:gutter="0"/>
          <w:cols w:equalWidth="0" w:num="2">
            <w:col w:w="1840" w:space="460"/>
            <w:col w:w="6740"/>
          </w:cols>
          <w:docGrid w:linePitch="360" w:charSpace="0"/>
        </w:sectPr>
      </w:pPr>
    </w:p>
    <w:p>
      <w:pPr>
        <w:spacing w:line="237" w:lineRule="auto"/>
        <w:rPr>
          <w:rFonts w:ascii="Arial" w:hAnsi="Arial" w:eastAsia="Arial" w:cs="Arial"/>
          <w:i/>
          <w:lang w:val="sr-Cyrl-RS"/>
        </w:rPr>
      </w:pPr>
      <w:r>
        <w:rPr>
          <w:rFonts w:ascii="Arial" w:hAnsi="Arial" w:eastAsia="Arial" w:cs="Arial"/>
          <w:i/>
          <w:lang w:val="sr-Cyrl-RS"/>
        </w:rPr>
        <w:t>Извор : РЗС, 2022</w:t>
      </w:r>
    </w:p>
    <w:p>
      <w:pPr>
        <w:spacing w:line="12" w:lineRule="exact"/>
        <w:rPr>
          <w:rFonts w:ascii="Arial" w:hAnsi="Arial" w:cs="Arial"/>
          <w:lang w:val="sr-Cyrl-RS"/>
        </w:rPr>
      </w:pPr>
    </w:p>
    <w:p>
      <w:pPr>
        <w:spacing w:line="273" w:lineRule="auto"/>
        <w:jc w:val="both"/>
        <w:rPr>
          <w:rFonts w:ascii="Arial" w:hAnsi="Arial" w:eastAsia="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Општина Гаџин Хан убраја се у "старе" општине с обзиром да више од половине становника, односно 60,8% припада старосним групама преко 50 година старости. Општину карактерише негативан природни прираштај од – 22,2‰, и чињеница да становништво до 20 година старости чини свега 11,8% укупног броја. Просечна старост становништва износи 53,16 годинa.Читаво сеоско подручје је захваћено јаким миграционим кретањима. У структури насеља само Гаџин Хан има преко 1000 становника, једно насеље између 700 и 1000 становника, 2 насеља између 400 – 700, 4 насеља 200 – 400, 9 насеља од 100 – 200 и 17 насеља мање од 100 становника. (Извор : РЗС, попис становника 2022.)</w:t>
      </w:r>
    </w:p>
    <w:p>
      <w:pPr>
        <w:spacing w:line="136" w:lineRule="exact"/>
        <w:rPr>
          <w:rFonts w:ascii="Arial" w:hAnsi="Arial" w:cs="Arial"/>
          <w:lang w:val="sr-Cyrl-RS"/>
        </w:rPr>
      </w:pPr>
    </w:p>
    <w:p>
      <w:pPr>
        <w:spacing w:line="268" w:lineRule="auto"/>
        <w:ind w:right="20"/>
        <w:jc w:val="both"/>
        <w:rPr>
          <w:rFonts w:ascii="Arial" w:hAnsi="Arial" w:eastAsia="Arial" w:cs="Arial"/>
          <w:lang w:val="sr-Cyrl-RS"/>
        </w:rPr>
      </w:pPr>
      <w:r>
        <w:rPr>
          <w:rFonts w:ascii="Arial" w:hAnsi="Arial" w:eastAsia="Arial" w:cs="Arial"/>
          <w:lang w:val="sr-Cyrl-RS"/>
        </w:rPr>
        <w:t>Општина Гаџин Хан обухвата 34 насељена места. У наредној табели приказан је број становника по насељеном месту.</w:t>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79" w:lineRule="exact"/>
        <w:rPr>
          <w:rFonts w:ascii="Arial" w:hAnsi="Arial" w:cs="Arial"/>
          <w:lang w:val="sr-Cyrl-RS"/>
        </w:rPr>
      </w:pPr>
    </w:p>
    <w:p>
      <w:pPr>
        <w:spacing w:line="264" w:lineRule="auto"/>
        <w:ind w:right="640"/>
        <w:rPr>
          <w:rFonts w:ascii="Arial" w:hAnsi="Arial" w:eastAsia="Arial" w:cs="Arial"/>
          <w:lang w:val="sr-Cyrl-RS"/>
        </w:rPr>
      </w:pPr>
      <w:r>
        <w:rPr>
          <w:rFonts w:ascii="Arial" w:hAnsi="Arial" w:eastAsia="Arial" w:cs="Arial"/>
          <w:lang w:val="sr-Cyrl-RS"/>
        </w:rPr>
        <w:t>Табела 3. Број становника по насељеним местима на територији Општине Гаџин Хан</w:t>
      </w:r>
    </w:p>
    <w:p>
      <w:pPr>
        <w:spacing w:line="118" w:lineRule="exact"/>
        <w:rPr>
          <w:rFonts w:ascii="Arial" w:hAnsi="Arial" w:cs="Arial"/>
          <w:lang w:val="sr-Cyrl-RS"/>
        </w:rPr>
      </w:pPr>
    </w:p>
    <w:tbl>
      <w:tblPr>
        <w:tblStyle w:val="6"/>
        <w:tblW w:w="7200" w:type="dxa"/>
        <w:tblInd w:w="920" w:type="dxa"/>
        <w:tblLayout w:type="fixed"/>
        <w:tblCellMar>
          <w:top w:w="0" w:type="dxa"/>
          <w:left w:w="0" w:type="dxa"/>
          <w:bottom w:w="0" w:type="dxa"/>
          <w:right w:w="0" w:type="dxa"/>
        </w:tblCellMar>
      </w:tblPr>
      <w:tblGrid>
        <w:gridCol w:w="280"/>
        <w:gridCol w:w="2280"/>
        <w:gridCol w:w="2280"/>
        <w:gridCol w:w="2260"/>
        <w:gridCol w:w="100"/>
      </w:tblGrid>
      <w:tr>
        <w:tblPrEx>
          <w:tblCellMar>
            <w:top w:w="0" w:type="dxa"/>
            <w:left w:w="0" w:type="dxa"/>
            <w:bottom w:w="0" w:type="dxa"/>
            <w:right w:w="0" w:type="dxa"/>
          </w:tblCellMar>
        </w:tblPrEx>
        <w:trPr>
          <w:trHeight w:val="285" w:hRule="atLeast"/>
        </w:trPr>
        <w:tc>
          <w:tcPr>
            <w:tcW w:w="2560" w:type="dxa"/>
            <w:gridSpan w:val="2"/>
            <w:tcBorders>
              <w:top w:val="single" w:color="666666" w:sz="8" w:space="0"/>
              <w:left w:val="single" w:color="666666" w:sz="8" w:space="0"/>
              <w:righ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Насељено место</w:t>
            </w:r>
          </w:p>
        </w:tc>
        <w:tc>
          <w:tcPr>
            <w:tcW w:w="2280" w:type="dxa"/>
            <w:tcBorders>
              <w:top w:val="single" w:color="666666" w:sz="8" w:space="0"/>
              <w:right w:val="single" w:color="666666" w:sz="8" w:space="0"/>
            </w:tcBorders>
            <w:shd w:val="clear" w:color="auto" w:fill="CCCCCC"/>
            <w:vAlign w:val="bottom"/>
          </w:tcPr>
          <w:p>
            <w:pPr>
              <w:spacing w:line="0" w:lineRule="atLeast"/>
              <w:ind w:left="100"/>
              <w:rPr>
                <w:rFonts w:ascii="Arial" w:hAnsi="Arial" w:eastAsia="Arial" w:cs="Arial"/>
                <w:lang w:val="sr-Cyrl-RS"/>
              </w:rPr>
            </w:pPr>
            <w:r>
              <w:rPr>
                <w:rFonts w:ascii="Arial" w:hAnsi="Arial" w:eastAsia="Arial" w:cs="Arial"/>
                <w:lang w:val="sr-Cyrl-RS"/>
              </w:rPr>
              <w:t>Укупан број</w:t>
            </w:r>
          </w:p>
        </w:tc>
        <w:tc>
          <w:tcPr>
            <w:tcW w:w="2260" w:type="dxa"/>
            <w:tcBorders>
              <w:top w:val="single" w:color="666666" w:sz="8" w:space="0"/>
              <w:right w:val="single" w:color="666666" w:sz="8" w:space="0"/>
            </w:tcBorders>
            <w:shd w:val="clear" w:color="auto" w:fill="CCCCCC"/>
            <w:vAlign w:val="bottom"/>
          </w:tcPr>
          <w:p>
            <w:pPr>
              <w:spacing w:line="0" w:lineRule="atLeast"/>
              <w:ind w:left="100"/>
              <w:rPr>
                <w:rFonts w:ascii="Arial" w:hAnsi="Arial" w:eastAsia="Arial" w:cs="Arial"/>
                <w:lang w:val="sr-Cyrl-RS"/>
              </w:rPr>
            </w:pPr>
            <w:r>
              <w:rPr>
                <w:rFonts w:ascii="Arial" w:hAnsi="Arial" w:eastAsia="Arial" w:cs="Arial"/>
                <w:lang w:val="sr-Cyrl-RS"/>
              </w:rPr>
              <w:t>Укупан број</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5" w:hRule="atLeast"/>
        </w:trPr>
        <w:tc>
          <w:tcPr>
            <w:tcW w:w="280" w:type="dxa"/>
            <w:tcBorders>
              <w:left w:val="single" w:color="666666" w:sz="8" w:space="0"/>
              <w:bottom w:val="single" w:color="CCCCCC" w:sz="8" w:space="0"/>
            </w:tcBorders>
            <w:shd w:val="clear" w:color="auto" w:fill="CCCCCC"/>
            <w:vAlign w:val="bottom"/>
          </w:tcPr>
          <w:p>
            <w:pPr>
              <w:spacing w:line="0" w:lineRule="atLeast"/>
              <w:rPr>
                <w:rFonts w:ascii="Arial" w:hAnsi="Arial" w:cs="Arial"/>
                <w:lang w:val="sr-Cyrl-RS"/>
              </w:rPr>
            </w:pPr>
          </w:p>
        </w:tc>
        <w:tc>
          <w:tcPr>
            <w:tcW w:w="2280" w:type="dxa"/>
            <w:tcBorders>
              <w:bottom w:val="single" w:color="CCCCCC"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CCCCCC" w:sz="8" w:space="0"/>
              <w:right w:val="single" w:color="666666" w:sz="8" w:space="0"/>
            </w:tcBorders>
            <w:shd w:val="clear" w:color="auto" w:fill="CCCCCC"/>
            <w:vAlign w:val="bottom"/>
          </w:tcPr>
          <w:p>
            <w:pPr>
              <w:spacing w:line="0" w:lineRule="atLeast"/>
              <w:ind w:left="100"/>
              <w:rPr>
                <w:rFonts w:ascii="Arial" w:hAnsi="Arial" w:eastAsia="Arial" w:cs="Arial"/>
                <w:lang w:val="sr-Cyrl-RS"/>
              </w:rPr>
            </w:pPr>
            <w:r>
              <w:rPr>
                <w:rFonts w:ascii="Arial" w:hAnsi="Arial" w:eastAsia="Arial" w:cs="Arial"/>
                <w:lang w:val="sr-Cyrl-RS"/>
              </w:rPr>
              <w:t>становника</w:t>
            </w:r>
          </w:p>
        </w:tc>
        <w:tc>
          <w:tcPr>
            <w:tcW w:w="2260" w:type="dxa"/>
            <w:tcBorders>
              <w:bottom w:val="single" w:color="CCCCCC" w:sz="8" w:space="0"/>
              <w:right w:val="single" w:color="666666" w:sz="8" w:space="0"/>
            </w:tcBorders>
            <w:shd w:val="clear" w:color="auto" w:fill="CCCCCC"/>
            <w:vAlign w:val="bottom"/>
          </w:tcPr>
          <w:p>
            <w:pPr>
              <w:spacing w:line="0" w:lineRule="atLeast"/>
              <w:ind w:left="100"/>
              <w:rPr>
                <w:rFonts w:ascii="Arial" w:hAnsi="Arial" w:eastAsia="Arial" w:cs="Arial"/>
                <w:lang w:val="sr-Cyrl-RS"/>
              </w:rPr>
            </w:pPr>
            <w:r>
              <w:rPr>
                <w:rFonts w:ascii="Arial" w:hAnsi="Arial" w:eastAsia="Arial" w:cs="Arial"/>
                <w:lang w:val="sr-Cyrl-RS"/>
              </w:rPr>
              <w:t>домаћинстава</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top w:val="single" w:color="666666" w:sz="8" w:space="0"/>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top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top w:val="single" w:color="666666" w:sz="8" w:space="0"/>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98</w:t>
            </w:r>
          </w:p>
        </w:tc>
        <w:tc>
          <w:tcPr>
            <w:tcW w:w="2260" w:type="dxa"/>
            <w:tcBorders>
              <w:top w:val="single" w:color="666666" w:sz="8" w:space="0"/>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56</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1</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Велики Вртоп</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149</w:t>
            </w:r>
          </w:p>
        </w:tc>
        <w:tc>
          <w:tcPr>
            <w:tcW w:w="226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83</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20"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2</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Велики Крчимир</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116</w:t>
            </w:r>
          </w:p>
        </w:tc>
        <w:tc>
          <w:tcPr>
            <w:tcW w:w="226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59</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3</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Виландрица</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9</w:t>
            </w:r>
          </w:p>
        </w:tc>
        <w:tc>
          <w:tcPr>
            <w:tcW w:w="226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7</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4</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Гаре</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1"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1194</w:t>
            </w:r>
          </w:p>
        </w:tc>
        <w:tc>
          <w:tcPr>
            <w:tcW w:w="226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486</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20"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5</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Гаџин Хан</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96</w:t>
            </w:r>
          </w:p>
        </w:tc>
        <w:tc>
          <w:tcPr>
            <w:tcW w:w="226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58</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6</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Горње Власе</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171</w:t>
            </w:r>
          </w:p>
        </w:tc>
        <w:tc>
          <w:tcPr>
            <w:tcW w:w="226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109</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20"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highlight w:val="lightGray"/>
                <w:lang w:val="sr-Cyrl-RS"/>
              </w:rPr>
            </w:pPr>
            <w:r>
              <w:rPr>
                <w:rFonts w:ascii="Arial" w:hAnsi="Arial" w:eastAsia="Arial" w:cs="Arial"/>
                <w:highlight w:val="lightGray"/>
                <w:lang w:val="sr-Cyrl-RS"/>
              </w:rPr>
              <w:t>7</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highlight w:val="lightGray"/>
                <w:lang w:val="sr-Cyrl-RS"/>
              </w:rPr>
            </w:pPr>
            <w:r>
              <w:rPr>
                <w:rFonts w:ascii="Arial" w:hAnsi="Arial" w:eastAsia="Arial" w:cs="Arial"/>
                <w:highlight w:val="lightGray"/>
                <w:lang w:val="sr-Cyrl-RS"/>
              </w:rPr>
              <w:t>. Горње Драговље</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255</w:t>
            </w:r>
          </w:p>
        </w:tc>
        <w:tc>
          <w:tcPr>
            <w:tcW w:w="226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121</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6"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8</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Горњи Барбеш</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94</w:t>
            </w:r>
          </w:p>
        </w:tc>
        <w:tc>
          <w:tcPr>
            <w:tcW w:w="226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50</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20" w:hRule="atLeast"/>
        </w:trPr>
        <w:tc>
          <w:tcPr>
            <w:tcW w:w="28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9</w:t>
            </w:r>
          </w:p>
        </w:tc>
        <w:tc>
          <w:tcPr>
            <w:tcW w:w="228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Горњи Душник</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6" w:hRule="atLeast"/>
        </w:trPr>
        <w:tc>
          <w:tcPr>
            <w:tcW w:w="28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497</w:t>
            </w:r>
          </w:p>
        </w:tc>
        <w:tc>
          <w:tcPr>
            <w:tcW w:w="226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222</w:t>
            </w: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2560" w:type="dxa"/>
            <w:gridSpan w:val="2"/>
            <w:tcBorders>
              <w:left w:val="single" w:color="666666" w:sz="8" w:space="0"/>
              <w:righ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10 . Гркиња</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28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6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10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gridAfter w:val="2"/>
          <w:wAfter w:w="2360" w:type="dxa"/>
          <w:trHeight w:val="340" w:hRule="atLeast"/>
        </w:trPr>
        <w:tc>
          <w:tcPr>
            <w:tcW w:w="280" w:type="dxa"/>
            <w:shd w:val="clear" w:color="auto" w:fill="auto"/>
            <w:vAlign w:val="bottom"/>
          </w:tcPr>
          <w:p>
            <w:pPr>
              <w:spacing w:line="0" w:lineRule="atLeast"/>
              <w:rPr>
                <w:rFonts w:ascii="Arial" w:hAnsi="Arial" w:cs="Arial"/>
                <w:lang w:val="sr-Cyrl-RS"/>
              </w:rPr>
            </w:pPr>
          </w:p>
        </w:tc>
        <w:tc>
          <w:tcPr>
            <w:tcW w:w="2280" w:type="dxa"/>
            <w:shd w:val="clear" w:color="auto" w:fill="auto"/>
            <w:vAlign w:val="bottom"/>
          </w:tcPr>
          <w:p>
            <w:pPr>
              <w:spacing w:line="0" w:lineRule="atLeast"/>
              <w:rPr>
                <w:rFonts w:ascii="Arial" w:hAnsi="Arial" w:cs="Arial"/>
                <w:lang w:val="sr-Cyrl-RS"/>
              </w:rPr>
            </w:pPr>
          </w:p>
        </w:tc>
        <w:tc>
          <w:tcPr>
            <w:tcW w:w="2280" w:type="dxa"/>
            <w:shd w:val="clear" w:color="auto" w:fill="auto"/>
            <w:vAlign w:val="bottom"/>
          </w:tcPr>
          <w:p>
            <w:pPr>
              <w:spacing w:line="0" w:lineRule="atLeast"/>
              <w:rPr>
                <w:rFonts w:ascii="Arial" w:hAnsi="Arial" w:cs="Arial"/>
                <w:lang w:val="sr-Cyrl-RS"/>
              </w:rPr>
            </w:pPr>
          </w:p>
        </w:tc>
      </w:tr>
    </w:tbl>
    <w:p>
      <w:pPr>
        <w:rPr>
          <w:rFonts w:ascii="Arial" w:hAnsi="Arial" w:cs="Arial"/>
          <w:w w:val="91"/>
          <w:lang w:val="sr-Cyrl-RS"/>
        </w:rPr>
        <w:sectPr>
          <w:type w:val="continuous"/>
          <w:pgSz w:w="11900" w:h="16840"/>
          <w:pgMar w:top="707" w:right="1425" w:bottom="551" w:left="1440" w:header="0" w:footer="0" w:gutter="0"/>
          <w:cols w:equalWidth="0" w:num="1">
            <w:col w:w="9040"/>
          </w:cols>
          <w:docGrid w:linePitch="360" w:charSpace="0"/>
        </w:sectPr>
      </w:pPr>
    </w:p>
    <w:p>
      <w:pPr>
        <w:spacing w:line="200" w:lineRule="exact"/>
        <w:rPr>
          <w:rFonts w:ascii="Arial" w:hAnsi="Arial" w:cs="Arial"/>
          <w:lang w:val="sr-Cyrl-RS"/>
        </w:rPr>
      </w:pPr>
      <w:bookmarkStart w:id="33" w:name="page22"/>
      <w:bookmarkEnd w:id="33"/>
    </w:p>
    <w:p>
      <w:pPr>
        <w:spacing w:line="283" w:lineRule="exact"/>
        <w:rPr>
          <w:rFonts w:ascii="Arial" w:hAnsi="Arial" w:cs="Arial"/>
          <w:lang w:val="sr-Cyrl-RS"/>
        </w:rPr>
      </w:pPr>
    </w:p>
    <w:tbl>
      <w:tblPr>
        <w:tblStyle w:val="6"/>
        <w:tblW w:w="0" w:type="auto"/>
        <w:tblInd w:w="957" w:type="dxa"/>
        <w:tblLayout w:type="fixed"/>
        <w:tblCellMar>
          <w:top w:w="0" w:type="dxa"/>
          <w:left w:w="0" w:type="dxa"/>
          <w:bottom w:w="0" w:type="dxa"/>
          <w:right w:w="0" w:type="dxa"/>
        </w:tblCellMar>
      </w:tblPr>
      <w:tblGrid>
        <w:gridCol w:w="420"/>
        <w:gridCol w:w="2140"/>
        <w:gridCol w:w="2280"/>
        <w:gridCol w:w="2280"/>
      </w:tblGrid>
      <w:tr>
        <w:tblPrEx>
          <w:tblCellMar>
            <w:top w:w="0" w:type="dxa"/>
            <w:left w:w="0" w:type="dxa"/>
            <w:bottom w:w="0" w:type="dxa"/>
            <w:right w:w="0" w:type="dxa"/>
          </w:tblCellMar>
        </w:tblPrEx>
        <w:trPr>
          <w:trHeight w:val="285" w:hRule="atLeast"/>
        </w:trPr>
        <w:tc>
          <w:tcPr>
            <w:tcW w:w="420" w:type="dxa"/>
            <w:tcBorders>
              <w:top w:val="single" w:color="666666" w:sz="8" w:space="0"/>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top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top w:val="single" w:color="666666" w:sz="8" w:space="0"/>
              <w:right w:val="single" w:color="666666" w:sz="8" w:space="0"/>
            </w:tcBorders>
            <w:shd w:val="clear" w:color="auto" w:fill="auto"/>
            <w:vAlign w:val="bottom"/>
          </w:tcPr>
          <w:p>
            <w:pPr>
              <w:spacing w:line="0" w:lineRule="atLeast"/>
              <w:ind w:left="100"/>
              <w:rPr>
                <w:rFonts w:ascii="Arial" w:hAnsi="Arial" w:eastAsia="Arial" w:cs="Arial"/>
                <w:lang w:val="sr-Cyrl-RS"/>
              </w:rPr>
            </w:pPr>
            <w:r>
              <w:rPr>
                <w:rFonts w:ascii="Arial" w:hAnsi="Arial" w:eastAsia="Arial" w:cs="Arial"/>
                <w:lang w:val="sr-Cyrl-RS"/>
              </w:rPr>
              <w:t>235</w:t>
            </w:r>
          </w:p>
        </w:tc>
        <w:tc>
          <w:tcPr>
            <w:tcW w:w="2280" w:type="dxa"/>
            <w:tcBorders>
              <w:top w:val="single" w:color="666666" w:sz="8" w:space="0"/>
              <w:right w:val="single" w:color="666666" w:sz="8" w:space="0"/>
            </w:tcBorders>
            <w:shd w:val="clear" w:color="auto" w:fill="auto"/>
            <w:vAlign w:val="bottom"/>
          </w:tcPr>
          <w:p>
            <w:pPr>
              <w:spacing w:line="0" w:lineRule="atLeast"/>
              <w:ind w:left="100"/>
              <w:rPr>
                <w:rFonts w:ascii="Arial" w:hAnsi="Arial" w:eastAsia="Arial" w:cs="Arial"/>
                <w:lang w:val="sr-Cyrl-RS"/>
              </w:rPr>
            </w:pPr>
            <w:r>
              <w:rPr>
                <w:rFonts w:ascii="Arial" w:hAnsi="Arial" w:eastAsia="Arial" w:cs="Arial"/>
                <w:lang w:val="sr-Cyrl-RS"/>
              </w:rPr>
              <w:t>103</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highlight w:val="lightGray"/>
                <w:lang w:val="sr-Cyrl-RS"/>
              </w:rPr>
            </w:pPr>
            <w:r>
              <w:rPr>
                <w:rFonts w:ascii="Arial" w:hAnsi="Arial" w:eastAsia="Arial" w:cs="Arial"/>
                <w:highlight w:val="lightGray"/>
                <w:lang w:val="sr-Cyrl-RS"/>
              </w:rPr>
              <w:t>11</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highlight w:val="lightGray"/>
                <w:lang w:val="sr-Cyrl-RS"/>
              </w:rPr>
            </w:pPr>
            <w:r>
              <w:rPr>
                <w:rFonts w:ascii="Arial" w:hAnsi="Arial" w:eastAsia="Arial" w:cs="Arial"/>
                <w:highlight w:val="lightGray"/>
                <w:lang w:val="sr-Cyrl-RS"/>
              </w:rPr>
              <w:t>. Доње Драговље</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87</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48</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12</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Доњи Барбеш</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428</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171</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13</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Доњи Душник</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1"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22</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14</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14</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Дуга Пољана</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134</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59</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15</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Дукат</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14</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10</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16</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Јагличје</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34</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20</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17</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Калетинац</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25</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18</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18</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Копривница</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24</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15</w:t>
            </w:r>
          </w:p>
        </w:tc>
      </w:tr>
      <w:tr>
        <w:tblPrEx>
          <w:tblCellMar>
            <w:top w:w="0" w:type="dxa"/>
            <w:left w:w="0" w:type="dxa"/>
            <w:bottom w:w="0" w:type="dxa"/>
            <w:right w:w="0" w:type="dxa"/>
          </w:tblCellMar>
        </w:tblPrEx>
        <w:trPr>
          <w:trHeight w:val="321"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19</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Краставче</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112</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67</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20</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Личје</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67</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32</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21</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Мали Вртоп</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131</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66</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22</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Мали Крчимир</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1"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213</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108</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highlight w:val="lightGray"/>
                <w:lang w:val="sr-Cyrl-RS"/>
              </w:rPr>
            </w:pPr>
            <w:r>
              <w:rPr>
                <w:rFonts w:ascii="Arial" w:hAnsi="Arial" w:eastAsia="Arial" w:cs="Arial"/>
                <w:highlight w:val="lightGray"/>
                <w:lang w:val="sr-Cyrl-RS"/>
              </w:rPr>
              <w:t>23</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highlight w:val="lightGray"/>
                <w:lang w:val="sr-Cyrl-RS"/>
              </w:rPr>
            </w:pPr>
            <w:r>
              <w:rPr>
                <w:rFonts w:ascii="Arial" w:hAnsi="Arial" w:eastAsia="Arial" w:cs="Arial"/>
                <w:highlight w:val="lightGray"/>
                <w:lang w:val="sr-Cyrl-RS"/>
              </w:rPr>
              <w:t>. Марина Кутина</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27</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12</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jc w:val="right"/>
              <w:rPr>
                <w:rFonts w:ascii="Arial" w:hAnsi="Arial" w:eastAsia="Arial" w:cs="Arial"/>
                <w:lang w:val="sr-Cyrl-RS"/>
              </w:rPr>
            </w:pPr>
            <w:r>
              <w:rPr>
                <w:rFonts w:ascii="Arial" w:hAnsi="Arial" w:eastAsia="Arial" w:cs="Arial"/>
                <w:lang w:val="sr-Cyrl-RS"/>
              </w:rPr>
              <w:t>24</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Миљковац</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1"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bl>
    <w:p>
      <w:pPr>
        <w:spacing w:line="199" w:lineRule="exact"/>
        <w:rPr>
          <w:rFonts w:ascii="Arial" w:hAnsi="Arial" w:cs="Arial"/>
          <w:lang w:val="sr-Cyrl-RS"/>
        </w:rPr>
      </w:pPr>
    </w:p>
    <w:p>
      <w:pPr>
        <w:spacing w:line="0" w:lineRule="atLeast"/>
        <w:ind w:right="5"/>
        <w:jc w:val="right"/>
        <w:rPr>
          <w:rFonts w:ascii="Arial" w:hAnsi="Arial" w:cs="Arial"/>
          <w:lang w:val="sr-Cyrl-RS"/>
        </w:rPr>
        <w:sectPr>
          <w:pgSz w:w="11900" w:h="16840"/>
          <w:pgMar w:top="707" w:right="1440" w:bottom="551" w:left="1440" w:header="0" w:footer="0" w:gutter="0"/>
          <w:cols w:equalWidth="0" w:num="1">
            <w:col w:w="9025"/>
          </w:cols>
          <w:docGrid w:linePitch="360" w:charSpace="0"/>
        </w:sectPr>
      </w:pPr>
    </w:p>
    <w:p>
      <w:pPr>
        <w:spacing w:line="283" w:lineRule="exact"/>
        <w:rPr>
          <w:rFonts w:ascii="Arial" w:hAnsi="Arial" w:cs="Arial"/>
          <w:lang w:val="sr-Cyrl-RS"/>
        </w:rPr>
      </w:pPr>
      <w:bookmarkStart w:id="34" w:name="page23"/>
      <w:bookmarkEnd w:id="34"/>
    </w:p>
    <w:tbl>
      <w:tblPr>
        <w:tblStyle w:val="6"/>
        <w:tblW w:w="0" w:type="auto"/>
        <w:tblInd w:w="957" w:type="dxa"/>
        <w:tblLayout w:type="fixed"/>
        <w:tblCellMar>
          <w:top w:w="0" w:type="dxa"/>
          <w:left w:w="0" w:type="dxa"/>
          <w:bottom w:w="0" w:type="dxa"/>
          <w:right w:w="0" w:type="dxa"/>
        </w:tblCellMar>
      </w:tblPr>
      <w:tblGrid>
        <w:gridCol w:w="420"/>
        <w:gridCol w:w="2140"/>
        <w:gridCol w:w="2280"/>
        <w:gridCol w:w="2280"/>
      </w:tblGrid>
      <w:tr>
        <w:tblPrEx>
          <w:tblCellMar>
            <w:top w:w="0" w:type="dxa"/>
            <w:left w:w="0" w:type="dxa"/>
            <w:bottom w:w="0" w:type="dxa"/>
            <w:right w:w="0" w:type="dxa"/>
          </w:tblCellMar>
        </w:tblPrEx>
        <w:trPr>
          <w:trHeight w:val="285" w:hRule="atLeast"/>
        </w:trPr>
        <w:tc>
          <w:tcPr>
            <w:tcW w:w="420" w:type="dxa"/>
            <w:tcBorders>
              <w:top w:val="single" w:color="666666" w:sz="8" w:space="0"/>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25</w:t>
            </w:r>
          </w:p>
        </w:tc>
        <w:tc>
          <w:tcPr>
            <w:tcW w:w="2140" w:type="dxa"/>
            <w:tcBorders>
              <w:top w:val="single" w:color="666666" w:sz="8" w:space="0"/>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Ново Село</w:t>
            </w:r>
          </w:p>
        </w:tc>
        <w:tc>
          <w:tcPr>
            <w:tcW w:w="2280" w:type="dxa"/>
            <w:tcBorders>
              <w:top w:val="single" w:color="666666" w:sz="8" w:space="0"/>
              <w:right w:val="single" w:color="666666" w:sz="8" w:space="0"/>
            </w:tcBorders>
            <w:shd w:val="clear" w:color="auto" w:fill="auto"/>
            <w:vAlign w:val="bottom"/>
          </w:tcPr>
          <w:p>
            <w:pPr>
              <w:spacing w:line="0" w:lineRule="atLeast"/>
              <w:ind w:left="100"/>
              <w:rPr>
                <w:rFonts w:ascii="Arial" w:hAnsi="Arial" w:eastAsia="Arial" w:cs="Arial"/>
                <w:lang w:val="sr-Cyrl-RS"/>
              </w:rPr>
            </w:pPr>
            <w:r>
              <w:rPr>
                <w:rFonts w:ascii="Arial" w:hAnsi="Arial" w:eastAsia="Arial" w:cs="Arial"/>
                <w:lang w:val="sr-Cyrl-RS"/>
              </w:rPr>
              <w:t>20</w:t>
            </w:r>
          </w:p>
        </w:tc>
        <w:tc>
          <w:tcPr>
            <w:tcW w:w="2280" w:type="dxa"/>
            <w:tcBorders>
              <w:top w:val="single" w:color="666666" w:sz="8" w:space="0"/>
              <w:right w:val="single" w:color="666666" w:sz="8" w:space="0"/>
            </w:tcBorders>
            <w:shd w:val="clear" w:color="auto" w:fill="auto"/>
            <w:vAlign w:val="bottom"/>
          </w:tcPr>
          <w:p>
            <w:pPr>
              <w:spacing w:line="0" w:lineRule="atLeast"/>
              <w:ind w:left="100"/>
              <w:rPr>
                <w:rFonts w:ascii="Arial" w:hAnsi="Arial" w:eastAsia="Arial" w:cs="Arial"/>
                <w:lang w:val="sr-Cyrl-RS"/>
              </w:rPr>
            </w:pPr>
            <w:r>
              <w:rPr>
                <w:rFonts w:ascii="Arial" w:hAnsi="Arial" w:eastAsia="Arial" w:cs="Arial"/>
                <w:lang w:val="sr-Cyrl-RS"/>
              </w:rPr>
              <w:t>14</w:t>
            </w: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84</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52</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26</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Овсињинац</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157</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85</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27</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Равна Дубрава</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6"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113</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60</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28</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Семче</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121</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50</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29</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Сопотница</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256</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127</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30</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Тасковићи</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736</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312</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31</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Топоница</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55"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14</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10</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32</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Ћелије</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80</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lang w:val="sr-Cyrl-RS"/>
              </w:rPr>
            </w:pPr>
            <w:r>
              <w:rPr>
                <w:rFonts w:ascii="Arial" w:hAnsi="Arial" w:eastAsia="Arial" w:cs="Arial"/>
                <w:lang w:val="sr-Cyrl-RS"/>
              </w:rPr>
              <w:t>45</w:t>
            </w:r>
          </w:p>
        </w:tc>
      </w:tr>
      <w:tr>
        <w:tblPrEx>
          <w:tblCellMar>
            <w:top w:w="0" w:type="dxa"/>
            <w:left w:w="0" w:type="dxa"/>
            <w:bottom w:w="0" w:type="dxa"/>
            <w:right w:w="0" w:type="dxa"/>
          </w:tblCellMar>
        </w:tblPrEx>
        <w:trPr>
          <w:trHeight w:val="315"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33</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Чагровац</w:t>
            </w: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1"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420" w:type="dxa"/>
            <w:tcBorders>
              <w:left w:val="single" w:color="666666" w:sz="8" w:space="0"/>
            </w:tcBorders>
            <w:shd w:val="clear" w:color="auto" w:fill="CCCCCC"/>
            <w:vAlign w:val="bottom"/>
          </w:tcPr>
          <w:p>
            <w:pPr>
              <w:spacing w:line="0" w:lineRule="atLeast"/>
              <w:rPr>
                <w:rFonts w:ascii="Arial" w:hAnsi="Arial" w:cs="Arial"/>
                <w:lang w:val="sr-Cyrl-RS"/>
              </w:rPr>
            </w:pPr>
          </w:p>
        </w:tc>
        <w:tc>
          <w:tcPr>
            <w:tcW w:w="214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37</w:t>
            </w:r>
          </w:p>
        </w:tc>
        <w:tc>
          <w:tcPr>
            <w:tcW w:w="2280" w:type="dxa"/>
            <w:tcBorders>
              <w:right w:val="single" w:color="666666" w:sz="8" w:space="0"/>
            </w:tcBorders>
            <w:shd w:val="clear" w:color="auto" w:fill="CCCCCC"/>
            <w:vAlign w:val="bottom"/>
          </w:tcPr>
          <w:p>
            <w:pPr>
              <w:spacing w:line="265" w:lineRule="exact"/>
              <w:ind w:left="100"/>
              <w:rPr>
                <w:rFonts w:ascii="Arial" w:hAnsi="Arial" w:eastAsia="Arial" w:cs="Arial"/>
                <w:lang w:val="sr-Cyrl-RS"/>
              </w:rPr>
            </w:pPr>
            <w:r>
              <w:rPr>
                <w:rFonts w:ascii="Arial" w:hAnsi="Arial" w:eastAsia="Arial" w:cs="Arial"/>
                <w:lang w:val="sr-Cyrl-RS"/>
              </w:rPr>
              <w:t>19</w:t>
            </w:r>
          </w:p>
        </w:tc>
      </w:tr>
      <w:tr>
        <w:tblPrEx>
          <w:tblCellMar>
            <w:top w:w="0" w:type="dxa"/>
            <w:left w:w="0" w:type="dxa"/>
            <w:bottom w:w="0" w:type="dxa"/>
            <w:right w:w="0" w:type="dxa"/>
          </w:tblCellMar>
        </w:tblPrEx>
        <w:trPr>
          <w:trHeight w:val="320" w:hRule="atLeast"/>
        </w:trPr>
        <w:tc>
          <w:tcPr>
            <w:tcW w:w="420" w:type="dxa"/>
            <w:tcBorders>
              <w:left w:val="single" w:color="666666" w:sz="8" w:space="0"/>
            </w:tcBorders>
            <w:shd w:val="clear" w:color="auto" w:fill="CCCCCC"/>
            <w:vAlign w:val="bottom"/>
          </w:tcPr>
          <w:p>
            <w:pPr>
              <w:spacing w:line="0" w:lineRule="atLeast"/>
              <w:ind w:left="120"/>
              <w:rPr>
                <w:rFonts w:ascii="Arial" w:hAnsi="Arial" w:eastAsia="Arial" w:cs="Arial"/>
                <w:lang w:val="sr-Cyrl-RS"/>
              </w:rPr>
            </w:pPr>
            <w:r>
              <w:rPr>
                <w:rFonts w:ascii="Arial" w:hAnsi="Arial" w:eastAsia="Arial" w:cs="Arial"/>
                <w:lang w:val="sr-Cyrl-RS"/>
              </w:rPr>
              <w:t>34</w:t>
            </w:r>
          </w:p>
        </w:tc>
        <w:tc>
          <w:tcPr>
            <w:tcW w:w="2140" w:type="dxa"/>
            <w:tcBorders>
              <w:right w:val="single" w:color="666666" w:sz="8" w:space="0"/>
            </w:tcBorders>
            <w:shd w:val="clear" w:color="auto" w:fill="CCCCCC"/>
            <w:vAlign w:val="bottom"/>
          </w:tcPr>
          <w:p>
            <w:pPr>
              <w:spacing w:line="0" w:lineRule="atLeast"/>
              <w:ind w:left="40"/>
              <w:rPr>
                <w:rFonts w:ascii="Arial" w:hAnsi="Arial" w:eastAsia="Arial" w:cs="Arial"/>
                <w:lang w:val="sr-Cyrl-RS"/>
              </w:rPr>
            </w:pPr>
            <w:r>
              <w:rPr>
                <w:rFonts w:ascii="Arial" w:hAnsi="Arial" w:eastAsia="Arial" w:cs="Arial"/>
                <w:lang w:val="sr-Cyrl-RS"/>
              </w:rPr>
              <w:t>. Шебет</w:t>
            </w: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265" w:hRule="atLeast"/>
        </w:trPr>
        <w:tc>
          <w:tcPr>
            <w:tcW w:w="2560" w:type="dxa"/>
            <w:gridSpan w:val="2"/>
            <w:tcBorders>
              <w:left w:val="single" w:color="666666" w:sz="8" w:space="0"/>
              <w:right w:val="single" w:color="666666" w:sz="8" w:space="0"/>
            </w:tcBorders>
            <w:shd w:val="clear" w:color="auto" w:fill="CCCCCC"/>
            <w:vAlign w:val="bottom"/>
          </w:tcPr>
          <w:p>
            <w:pPr>
              <w:spacing w:line="265" w:lineRule="exact"/>
              <w:ind w:left="120"/>
              <w:rPr>
                <w:rFonts w:ascii="Arial" w:hAnsi="Arial" w:eastAsia="Arial" w:cs="Arial"/>
                <w:highlight w:val="lightGray"/>
                <w:lang w:val="sr-Cyrl-RS"/>
              </w:rPr>
            </w:pPr>
            <w:r>
              <w:rPr>
                <w:rFonts w:ascii="Arial" w:hAnsi="Arial" w:eastAsia="Arial" w:cs="Arial"/>
                <w:highlight w:val="lightGray"/>
                <w:lang w:val="sr-Cyrl-RS"/>
              </w:rPr>
              <w:t>Општина Гаџин Хан</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b/>
                <w:lang w:val="sr-Cyrl-RS"/>
              </w:rPr>
            </w:pPr>
            <w:r>
              <w:rPr>
                <w:rFonts w:ascii="Arial" w:hAnsi="Arial" w:eastAsia="Arial" w:cs="Arial"/>
                <w:b/>
                <w:lang w:val="sr-Cyrl-RS"/>
              </w:rPr>
              <w:t>5850</w:t>
            </w:r>
          </w:p>
        </w:tc>
        <w:tc>
          <w:tcPr>
            <w:tcW w:w="2280" w:type="dxa"/>
            <w:tcBorders>
              <w:right w:val="single" w:color="666666" w:sz="8" w:space="0"/>
            </w:tcBorders>
            <w:shd w:val="clear" w:color="auto" w:fill="auto"/>
            <w:vAlign w:val="bottom"/>
          </w:tcPr>
          <w:p>
            <w:pPr>
              <w:spacing w:line="265" w:lineRule="exact"/>
              <w:ind w:left="100"/>
              <w:rPr>
                <w:rFonts w:ascii="Arial" w:hAnsi="Arial" w:eastAsia="Arial" w:cs="Arial"/>
                <w:b/>
                <w:lang w:val="sr-Cyrl-RS"/>
              </w:rPr>
            </w:pPr>
            <w:r>
              <w:rPr>
                <w:rFonts w:ascii="Arial" w:hAnsi="Arial" w:eastAsia="Arial" w:cs="Arial"/>
                <w:b/>
                <w:lang w:val="sr-Cyrl-RS"/>
              </w:rPr>
              <w:t>2768</w:t>
            </w:r>
          </w:p>
        </w:tc>
      </w:tr>
      <w:tr>
        <w:tblPrEx>
          <w:tblCellMar>
            <w:top w:w="0" w:type="dxa"/>
            <w:left w:w="0" w:type="dxa"/>
            <w:bottom w:w="0" w:type="dxa"/>
            <w:right w:w="0" w:type="dxa"/>
          </w:tblCellMar>
        </w:tblPrEx>
        <w:trPr>
          <w:trHeight w:val="360" w:hRule="atLeast"/>
        </w:trPr>
        <w:tc>
          <w:tcPr>
            <w:tcW w:w="420" w:type="dxa"/>
            <w:tcBorders>
              <w:left w:val="single" w:color="666666" w:sz="8" w:space="0"/>
              <w:bottom w:val="single" w:color="666666" w:sz="8" w:space="0"/>
            </w:tcBorders>
            <w:shd w:val="clear" w:color="auto" w:fill="CCCCCC"/>
            <w:vAlign w:val="bottom"/>
          </w:tcPr>
          <w:p>
            <w:pPr>
              <w:spacing w:line="0" w:lineRule="atLeast"/>
              <w:rPr>
                <w:rFonts w:ascii="Arial" w:hAnsi="Arial" w:cs="Arial"/>
                <w:lang w:val="sr-Cyrl-RS"/>
              </w:rPr>
            </w:pPr>
          </w:p>
        </w:tc>
        <w:tc>
          <w:tcPr>
            <w:tcW w:w="2140" w:type="dxa"/>
            <w:tcBorders>
              <w:bottom w:val="single" w:color="666666" w:sz="8" w:space="0"/>
              <w:right w:val="single" w:color="666666" w:sz="8" w:space="0"/>
            </w:tcBorders>
            <w:shd w:val="clear" w:color="auto" w:fill="CCCCCC"/>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c>
          <w:tcPr>
            <w:tcW w:w="2280" w:type="dxa"/>
            <w:tcBorders>
              <w:bottom w:val="single" w:color="666666" w:sz="8" w:space="0"/>
              <w:right w:val="single" w:color="666666" w:sz="8" w:space="0"/>
            </w:tcBorders>
            <w:shd w:val="clear" w:color="auto" w:fill="auto"/>
            <w:vAlign w:val="bottom"/>
          </w:tcPr>
          <w:p>
            <w:pPr>
              <w:spacing w:line="0" w:lineRule="atLeast"/>
              <w:rPr>
                <w:rFonts w:ascii="Arial" w:hAnsi="Arial" w:cs="Arial"/>
                <w:lang w:val="sr-Cyrl-RS"/>
              </w:rPr>
            </w:pPr>
          </w:p>
        </w:tc>
      </w:tr>
    </w:tbl>
    <w:p>
      <w:pPr>
        <w:spacing w:line="0" w:lineRule="atLeast"/>
        <w:rPr>
          <w:rFonts w:ascii="Arial" w:hAnsi="Arial" w:eastAsia="Arial" w:cs="Arial"/>
          <w:lang w:val="sr-Cyrl-RS"/>
        </w:rPr>
      </w:pPr>
      <w:r>
        <w:rPr>
          <w:rFonts w:ascii="Arial" w:hAnsi="Arial" w:eastAsia="Arial" w:cs="Arial"/>
          <w:lang w:val="sr-Cyrl-RS"/>
        </w:rPr>
        <w:t>Табела 3. Извор : РЗС, попис становника 2022.</w:t>
      </w:r>
    </w:p>
    <w:p>
      <w:pPr>
        <w:spacing w:line="329" w:lineRule="exact"/>
        <w:rPr>
          <w:rFonts w:ascii="Arial" w:hAnsi="Arial" w:cs="Arial"/>
          <w:lang w:val="sr-Cyrl-RS"/>
        </w:rPr>
      </w:pPr>
    </w:p>
    <w:p>
      <w:pPr>
        <w:spacing w:line="268" w:lineRule="auto"/>
        <w:rPr>
          <w:rFonts w:ascii="Arial" w:hAnsi="Arial" w:eastAsia="Arial" w:cs="Arial"/>
          <w:lang w:val="sr-Cyrl-RS"/>
        </w:rPr>
      </w:pPr>
      <w:r>
        <w:rPr>
          <w:rFonts w:ascii="Arial" w:hAnsi="Arial" w:eastAsia="Arial" w:cs="Arial"/>
          <w:lang w:val="sr-Cyrl-RS"/>
        </w:rPr>
        <w:t xml:space="preserve">Просечна старост мушкараца за општину Гаџин Хан је </w:t>
      </w:r>
      <w:r>
        <w:rPr>
          <w:rFonts w:ascii="Arial" w:hAnsi="Arial" w:eastAsia="Arial" w:cs="Arial"/>
          <w:b/>
          <w:lang w:val="sr-Cyrl-RS"/>
        </w:rPr>
        <w:t>51.8</w:t>
      </w:r>
      <w:r>
        <w:rPr>
          <w:rFonts w:ascii="Arial" w:hAnsi="Arial" w:eastAsia="Arial" w:cs="Arial"/>
          <w:lang w:val="sr-Cyrl-RS"/>
        </w:rPr>
        <w:t xml:space="preserve"> година а код жена је </w:t>
      </w:r>
      <w:r>
        <w:rPr>
          <w:rFonts w:ascii="Arial" w:hAnsi="Arial" w:eastAsia="Arial" w:cs="Arial"/>
          <w:b/>
          <w:lang w:val="sr-Cyrl-RS"/>
        </w:rPr>
        <w:t>54.7</w:t>
      </w:r>
      <w:r>
        <w:rPr>
          <w:rFonts w:ascii="Arial" w:hAnsi="Arial" w:eastAsia="Arial" w:cs="Arial"/>
          <w:lang w:val="sr-Cyrl-RS"/>
        </w:rPr>
        <w:t xml:space="preserve"> година.</w:t>
      </w:r>
    </w:p>
    <w:p>
      <w:pPr>
        <w:spacing w:line="299" w:lineRule="exact"/>
        <w:rPr>
          <w:rFonts w:ascii="Arial" w:hAnsi="Arial" w:cs="Arial"/>
          <w:lang w:val="sr-Cyrl-RS"/>
        </w:rPr>
      </w:pPr>
    </w:p>
    <w:p>
      <w:pPr>
        <w:numPr>
          <w:ilvl w:val="0"/>
          <w:numId w:val="10"/>
        </w:numPr>
        <w:tabs>
          <w:tab w:val="left" w:pos="274"/>
        </w:tabs>
        <w:spacing w:line="273" w:lineRule="auto"/>
        <w:ind w:right="20" w:firstLine="1"/>
        <w:jc w:val="both"/>
        <w:rPr>
          <w:rFonts w:ascii="Arial" w:hAnsi="Arial" w:eastAsia="Arial" w:cs="Arial"/>
          <w:lang w:val="sr-Cyrl-RS"/>
        </w:rPr>
      </w:pPr>
      <w:r>
        <w:rPr>
          <w:rFonts w:ascii="Arial" w:hAnsi="Arial" w:eastAsia="Arial" w:cs="Arial"/>
          <w:lang w:val="sr-Cyrl-RS"/>
        </w:rPr>
        <w:t>етничкој структури становништва општине Гаџин Хан, Срби су најбројнија заједница са 5.419 или 92,6%, а потом Роми са 247 становника или 4,2% и остали народи са 184 становника, што износи 3,1% у укупном броју становника (</w:t>
      </w:r>
      <w:r>
        <w:rPr>
          <w:rFonts w:ascii="Arial" w:hAnsi="Arial" w:eastAsia="Arial" w:cs="Arial"/>
          <w:b/>
          <w:lang w:val="sr-Cyrl-RS"/>
        </w:rPr>
        <w:t>5.850</w:t>
      </w:r>
      <w:r>
        <w:rPr>
          <w:rFonts w:ascii="Arial" w:hAnsi="Arial" w:eastAsia="Arial" w:cs="Arial"/>
          <w:lang w:val="sr-Cyrl-RS"/>
        </w:rPr>
        <w:t>). Детаљнији приказ националне припадности становништва, може се видети у наредној табели:</w:t>
      </w:r>
    </w:p>
    <w:p>
      <w:pPr>
        <w:rPr>
          <w:rFonts w:ascii="Arial" w:hAnsi="Arial" w:cs="Arial"/>
          <w:lang w:val="sr-Cyrl-RS"/>
        </w:rPr>
      </w:pPr>
    </w:p>
    <w:p>
      <w:pPr>
        <w:rPr>
          <w:rFonts w:ascii="Arial" w:hAnsi="Arial" w:cs="Arial"/>
          <w:lang w:val="sr-Cyrl-RS"/>
        </w:rPr>
      </w:pPr>
    </w:p>
    <w:p>
      <w:pPr>
        <w:rPr>
          <w:rFonts w:ascii="Arial" w:hAnsi="Arial" w:cs="Arial"/>
          <w:lang w:val="sr-Cyrl-RS"/>
        </w:rPr>
      </w:pPr>
    </w:p>
    <w:p>
      <w:pPr>
        <w:rPr>
          <w:rFonts w:ascii="Arial" w:hAnsi="Arial" w:cs="Arial"/>
          <w:lang w:val="sr-Cyrl-RS"/>
        </w:rPr>
      </w:pPr>
    </w:p>
    <w:p>
      <w:pPr>
        <w:rPr>
          <w:rFonts w:ascii="Arial" w:hAnsi="Arial" w:cs="Arial"/>
          <w:lang w:val="sr-Cyrl-RS"/>
        </w:rPr>
      </w:pPr>
    </w:p>
    <w:p>
      <w:pPr>
        <w:rPr>
          <w:rFonts w:ascii="Arial" w:hAnsi="Arial" w:cs="Arial"/>
          <w:lang w:val="sr-Cyrl-RS"/>
        </w:rPr>
      </w:pPr>
    </w:p>
    <w:p>
      <w:pPr>
        <w:rPr>
          <w:rFonts w:ascii="Arial" w:hAnsi="Arial" w:cs="Arial"/>
          <w:lang w:val="sr-Cyrl-RS"/>
        </w:rPr>
      </w:pPr>
    </w:p>
    <w:p>
      <w:pPr>
        <w:spacing w:line="0" w:lineRule="atLeast"/>
        <w:rPr>
          <w:rFonts w:ascii="Arial" w:hAnsi="Arial" w:eastAsia="Arial" w:cs="Arial"/>
          <w:b/>
          <w:lang w:val="sr-Cyrl-RS"/>
        </w:rPr>
      </w:pPr>
      <w:r>
        <w:rPr>
          <w:rFonts w:ascii="Arial" w:hAnsi="Arial" w:eastAsia="Arial" w:cs="Arial"/>
          <w:b/>
          <w:lang w:val="sr-Cyrl-RS"/>
        </w:rPr>
        <w:t>Становништво за Општину Гаџин Хан према националној припадности:</w:t>
      </w:r>
    </w:p>
    <w:p>
      <w:pPr>
        <w:spacing w:line="319" w:lineRule="exact"/>
        <w:rPr>
          <w:rFonts w:ascii="Arial" w:hAnsi="Arial" w:cs="Arial"/>
          <w:lang w:val="sr-Cyrl-RS"/>
        </w:rPr>
      </w:pPr>
    </w:p>
    <w:p>
      <w:pPr>
        <w:spacing w:line="262" w:lineRule="auto"/>
        <w:ind w:right="1520"/>
        <w:rPr>
          <w:rFonts w:ascii="Arial" w:hAnsi="Arial" w:eastAsia="Arial" w:cs="Arial"/>
          <w:i/>
          <w:lang w:val="sr-Cyrl-RS"/>
        </w:rPr>
      </w:pPr>
      <w:r>
        <w:rPr>
          <w:rFonts w:ascii="Arial" w:hAnsi="Arial" w:eastAsia="Arial" w:cs="Arial"/>
          <w:i/>
          <w:lang w:val="sr-Cyrl-RS"/>
        </w:rPr>
        <w:t>Табела 4, Становништво за Општину Гаџин Хан према националној припадности РЗС, Попис 2022.године</w:t>
      </w:r>
    </w:p>
    <w:p>
      <w:pPr>
        <w:spacing w:line="319" w:lineRule="exact"/>
        <w:rPr>
          <w:rFonts w:ascii="Arial" w:hAnsi="Arial" w:cs="Arial"/>
          <w:lang w:val="sr-Cyrl-RS"/>
        </w:rPr>
      </w:pPr>
    </w:p>
    <w:tbl>
      <w:tblPr>
        <w:tblStyle w:val="6"/>
        <w:tblW w:w="0" w:type="auto"/>
        <w:tblInd w:w="0" w:type="dxa"/>
        <w:tblLayout w:type="fixed"/>
        <w:tblCellMar>
          <w:top w:w="0" w:type="dxa"/>
          <w:left w:w="0" w:type="dxa"/>
          <w:bottom w:w="0" w:type="dxa"/>
          <w:right w:w="0" w:type="dxa"/>
        </w:tblCellMar>
      </w:tblPr>
      <w:tblGrid>
        <w:gridCol w:w="3780"/>
        <w:gridCol w:w="2180"/>
        <w:gridCol w:w="1420"/>
      </w:tblGrid>
      <w:tr>
        <w:tblPrEx>
          <w:tblCellMar>
            <w:top w:w="0" w:type="dxa"/>
            <w:left w:w="0" w:type="dxa"/>
            <w:bottom w:w="0" w:type="dxa"/>
            <w:right w:w="0" w:type="dxa"/>
          </w:tblCellMar>
        </w:tblPrEx>
        <w:trPr>
          <w:trHeight w:val="276" w:hRule="atLeast"/>
        </w:trPr>
        <w:tc>
          <w:tcPr>
            <w:tcW w:w="3780" w:type="dxa"/>
            <w:vMerge w:val="restart"/>
            <w:shd w:val="clear" w:color="auto" w:fill="auto"/>
            <w:vAlign w:val="bottom"/>
          </w:tcPr>
          <w:p>
            <w:pPr>
              <w:spacing w:line="0" w:lineRule="atLeast"/>
              <w:ind w:left="40"/>
              <w:rPr>
                <w:rFonts w:ascii="Arial" w:hAnsi="Arial" w:eastAsia="Arial" w:cs="Arial"/>
                <w:b/>
                <w:lang w:val="sr-Cyrl-RS"/>
              </w:rPr>
            </w:pPr>
            <w:r>
              <w:rPr>
                <w:rFonts w:ascii="Arial" w:hAnsi="Arial" w:eastAsia="Arial" w:cs="Arial"/>
                <w:b/>
                <w:lang w:val="sr-Cyrl-RS"/>
              </w:rPr>
              <w:t>Националност</w:t>
            </w:r>
          </w:p>
        </w:tc>
        <w:tc>
          <w:tcPr>
            <w:tcW w:w="2180" w:type="dxa"/>
            <w:shd w:val="clear" w:color="auto" w:fill="auto"/>
            <w:vAlign w:val="bottom"/>
          </w:tcPr>
          <w:p>
            <w:pPr>
              <w:spacing w:line="0" w:lineRule="atLeast"/>
              <w:ind w:right="480"/>
              <w:jc w:val="right"/>
              <w:rPr>
                <w:rFonts w:ascii="Arial" w:hAnsi="Arial" w:eastAsia="Arial" w:cs="Arial"/>
                <w:b/>
                <w:lang w:val="sr-Cyrl-RS"/>
              </w:rPr>
            </w:pPr>
            <w:r>
              <w:rPr>
                <w:rFonts w:ascii="Arial" w:hAnsi="Arial" w:eastAsia="Arial" w:cs="Arial"/>
                <w:b/>
                <w:lang w:val="sr-Cyrl-RS"/>
              </w:rPr>
              <w:t>Бр .</w:t>
            </w:r>
          </w:p>
        </w:tc>
        <w:tc>
          <w:tcPr>
            <w:tcW w:w="1420" w:type="dxa"/>
            <w:vMerge w:val="restart"/>
            <w:shd w:val="clear" w:color="auto" w:fill="auto"/>
            <w:vAlign w:val="bottom"/>
          </w:tcPr>
          <w:p>
            <w:pPr>
              <w:spacing w:line="0" w:lineRule="atLeast"/>
              <w:ind w:left="320"/>
              <w:rPr>
                <w:rFonts w:ascii="Arial" w:hAnsi="Arial" w:eastAsia="Arial" w:cs="Arial"/>
                <w:b/>
                <w:lang w:val="sr-Cyrl-RS"/>
              </w:rPr>
            </w:pPr>
            <w:r>
              <w:rPr>
                <w:rFonts w:ascii="Arial" w:hAnsi="Arial" w:eastAsia="Arial" w:cs="Arial"/>
                <w:b/>
                <w:lang w:val="sr-Cyrl-RS"/>
              </w:rPr>
              <w:t>Проц.</w:t>
            </w:r>
          </w:p>
        </w:tc>
      </w:tr>
      <w:tr>
        <w:tblPrEx>
          <w:tblCellMar>
            <w:top w:w="0" w:type="dxa"/>
            <w:left w:w="0" w:type="dxa"/>
            <w:bottom w:w="0" w:type="dxa"/>
            <w:right w:w="0" w:type="dxa"/>
          </w:tblCellMar>
        </w:tblPrEx>
        <w:trPr>
          <w:trHeight w:val="276" w:hRule="atLeast"/>
        </w:trPr>
        <w:tc>
          <w:tcPr>
            <w:tcW w:w="3780" w:type="dxa"/>
            <w:vMerge w:val="continue"/>
            <w:shd w:val="clear" w:color="auto" w:fill="auto"/>
            <w:vAlign w:val="bottom"/>
          </w:tcPr>
          <w:p>
            <w:pPr>
              <w:spacing w:line="0" w:lineRule="atLeast"/>
              <w:rPr>
                <w:rFonts w:ascii="Arial" w:hAnsi="Arial" w:cs="Arial"/>
                <w:lang w:val="sr-Cyrl-RS"/>
              </w:rPr>
            </w:pPr>
          </w:p>
        </w:tc>
        <w:tc>
          <w:tcPr>
            <w:tcW w:w="2180" w:type="dxa"/>
            <w:vMerge w:val="restart"/>
            <w:shd w:val="clear" w:color="auto" w:fill="auto"/>
            <w:vAlign w:val="bottom"/>
          </w:tcPr>
          <w:p>
            <w:pPr>
              <w:spacing w:line="0" w:lineRule="atLeast"/>
              <w:ind w:right="420"/>
              <w:jc w:val="right"/>
              <w:rPr>
                <w:rFonts w:ascii="Arial" w:hAnsi="Arial" w:eastAsia="Arial" w:cs="Arial"/>
                <w:b/>
                <w:lang w:val="sr-Cyrl-RS"/>
              </w:rPr>
            </w:pPr>
            <w:r>
              <w:rPr>
                <w:rFonts w:ascii="Arial" w:hAnsi="Arial" w:eastAsia="Arial" w:cs="Arial"/>
                <w:b/>
                <w:lang w:val="sr-Cyrl-RS"/>
              </w:rPr>
              <w:t>становника</w:t>
            </w:r>
          </w:p>
        </w:tc>
        <w:tc>
          <w:tcPr>
            <w:tcW w:w="1420" w:type="dxa"/>
            <w:vMerge w:val="continue"/>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160" w:hRule="atLeast"/>
        </w:trPr>
        <w:tc>
          <w:tcPr>
            <w:tcW w:w="3780" w:type="dxa"/>
            <w:shd w:val="clear" w:color="auto" w:fill="auto"/>
            <w:vAlign w:val="bottom"/>
          </w:tcPr>
          <w:p>
            <w:pPr>
              <w:spacing w:line="0" w:lineRule="atLeast"/>
              <w:rPr>
                <w:rFonts w:ascii="Arial" w:hAnsi="Arial" w:cs="Arial"/>
                <w:lang w:val="sr-Cyrl-RS"/>
              </w:rPr>
            </w:pPr>
          </w:p>
        </w:tc>
        <w:tc>
          <w:tcPr>
            <w:tcW w:w="2180" w:type="dxa"/>
            <w:vMerge w:val="continue"/>
            <w:shd w:val="clear" w:color="auto" w:fill="auto"/>
            <w:vAlign w:val="bottom"/>
          </w:tcPr>
          <w:p>
            <w:pPr>
              <w:spacing w:line="0" w:lineRule="atLeast"/>
              <w:rPr>
                <w:rFonts w:ascii="Arial" w:hAnsi="Arial" w:cs="Arial"/>
                <w:lang w:val="sr-Cyrl-RS"/>
              </w:rPr>
            </w:pPr>
          </w:p>
        </w:tc>
        <w:tc>
          <w:tcPr>
            <w:tcW w:w="1420" w:type="dxa"/>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7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Срби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5 419</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92,63%</w:t>
            </w: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Роми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247</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4,22%</w:t>
            </w:r>
          </w:p>
        </w:tc>
      </w:tr>
      <w:tr>
        <w:tblPrEx>
          <w:tblCellMar>
            <w:top w:w="0" w:type="dxa"/>
            <w:left w:w="0" w:type="dxa"/>
            <w:bottom w:w="0" w:type="dxa"/>
            <w:right w:w="0" w:type="dxa"/>
          </w:tblCellMar>
        </w:tblPrEx>
        <w:trPr>
          <w:trHeight w:val="55"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Неизјашњени и неопредељени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45</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0,77%</w:t>
            </w: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Непознато</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113</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1,93%</w:t>
            </w:r>
          </w:p>
        </w:tc>
      </w:tr>
      <w:tr>
        <w:tblPrEx>
          <w:tblCellMar>
            <w:top w:w="0" w:type="dxa"/>
            <w:left w:w="0" w:type="dxa"/>
            <w:bottom w:w="0" w:type="dxa"/>
            <w:right w:w="0" w:type="dxa"/>
          </w:tblCellMar>
        </w:tblPrEx>
        <w:trPr>
          <w:trHeight w:val="56"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Хрвати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2</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0,03%</w:t>
            </w: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Црногорци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1</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0,02%</w:t>
            </w:r>
          </w:p>
        </w:tc>
      </w:tr>
      <w:tr>
        <w:tblPrEx>
          <w:tblCellMar>
            <w:top w:w="0" w:type="dxa"/>
            <w:left w:w="0" w:type="dxa"/>
            <w:bottom w:w="0" w:type="dxa"/>
            <w:right w:w="0" w:type="dxa"/>
          </w:tblCellMar>
        </w:tblPrEx>
        <w:trPr>
          <w:trHeight w:val="55"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Руси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1</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0,02%</w:t>
            </w: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Бугари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6</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0,10%</w:t>
            </w:r>
          </w:p>
        </w:tc>
      </w:tr>
      <w:tr>
        <w:tblPrEx>
          <w:tblCellMar>
            <w:top w:w="0" w:type="dxa"/>
            <w:left w:w="0" w:type="dxa"/>
            <w:bottom w:w="0" w:type="dxa"/>
            <w:right w:w="0" w:type="dxa"/>
          </w:tblCellMar>
        </w:tblPrEx>
        <w:trPr>
          <w:trHeight w:val="55"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Македонци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2</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0,03%</w:t>
            </w: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Југословени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5</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0,08%</w:t>
            </w:r>
          </w:p>
        </w:tc>
      </w:tr>
      <w:tr>
        <w:tblPrEx>
          <w:tblCellMar>
            <w:top w:w="0" w:type="dxa"/>
            <w:left w:w="0" w:type="dxa"/>
            <w:bottom w:w="0" w:type="dxa"/>
            <w:right w:w="0" w:type="dxa"/>
          </w:tblCellMar>
        </w:tblPrEx>
        <w:trPr>
          <w:trHeight w:val="8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Албанци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3</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0,05%</w:t>
            </w:r>
          </w:p>
        </w:tc>
      </w:tr>
      <w:tr>
        <w:tblPrEx>
          <w:tblCellMar>
            <w:top w:w="0" w:type="dxa"/>
            <w:left w:w="0" w:type="dxa"/>
            <w:bottom w:w="0" w:type="dxa"/>
            <w:right w:w="0" w:type="dxa"/>
          </w:tblCellMar>
        </w:tblPrEx>
        <w:trPr>
          <w:trHeight w:val="8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Бошњаци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1</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0,02%</w:t>
            </w:r>
          </w:p>
        </w:tc>
      </w:tr>
      <w:tr>
        <w:tblPrEx>
          <w:tblCellMar>
            <w:top w:w="0" w:type="dxa"/>
            <w:left w:w="0" w:type="dxa"/>
            <w:bottom w:w="0" w:type="dxa"/>
            <w:right w:w="0" w:type="dxa"/>
          </w:tblCellMar>
        </w:tblPrEx>
        <w:trPr>
          <w:trHeight w:val="8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Русини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1</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0,02%</w:t>
            </w:r>
          </w:p>
        </w:tc>
      </w:tr>
      <w:tr>
        <w:tblPrEx>
          <w:tblCellMar>
            <w:top w:w="0" w:type="dxa"/>
            <w:left w:w="0" w:type="dxa"/>
            <w:bottom w:w="0" w:type="dxa"/>
            <w:right w:w="0" w:type="dxa"/>
          </w:tblCellMar>
        </w:tblPrEx>
        <w:trPr>
          <w:trHeight w:val="55"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Словаци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1</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0,02%</w:t>
            </w:r>
          </w:p>
        </w:tc>
      </w:tr>
      <w:tr>
        <w:tblPrEx>
          <w:tblCellMar>
            <w:top w:w="0" w:type="dxa"/>
            <w:left w:w="0" w:type="dxa"/>
            <w:bottom w:w="0" w:type="dxa"/>
            <w:right w:w="0" w:type="dxa"/>
          </w:tblCellMar>
        </w:tblPrEx>
        <w:trPr>
          <w:trHeight w:val="60" w:hRule="atLeast"/>
        </w:trPr>
        <w:tc>
          <w:tcPr>
            <w:tcW w:w="37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2180" w:type="dxa"/>
            <w:tcBorders>
              <w:bottom w:val="single" w:color="CCCCCC" w:sz="8" w:space="0"/>
            </w:tcBorders>
            <w:shd w:val="clear" w:color="auto" w:fill="auto"/>
            <w:vAlign w:val="bottom"/>
          </w:tcPr>
          <w:p>
            <w:pPr>
              <w:spacing w:line="0" w:lineRule="atLeast"/>
              <w:rPr>
                <w:rFonts w:ascii="Arial" w:hAnsi="Arial" w:cs="Arial"/>
                <w:lang w:val="sr-Cyrl-RS"/>
              </w:rPr>
            </w:pPr>
          </w:p>
        </w:tc>
        <w:tc>
          <w:tcPr>
            <w:tcW w:w="1420" w:type="dxa"/>
            <w:tcBorders>
              <w:bottom w:val="single" w:color="CCCCCC" w:sz="8" w:space="0"/>
            </w:tcBorders>
            <w:shd w:val="clear" w:color="auto" w:fill="auto"/>
            <w:vAlign w:val="bottom"/>
          </w:tcPr>
          <w:p>
            <w:pPr>
              <w:spacing w:line="0" w:lineRule="atLeast"/>
              <w:rPr>
                <w:rFonts w:ascii="Arial" w:hAnsi="Arial" w:cs="Arial"/>
                <w:lang w:val="sr-Cyrl-RS"/>
              </w:rPr>
            </w:pPr>
          </w:p>
        </w:tc>
      </w:tr>
      <w:tr>
        <w:tblPrEx>
          <w:tblCellMar>
            <w:top w:w="0" w:type="dxa"/>
            <w:left w:w="0" w:type="dxa"/>
            <w:bottom w:w="0" w:type="dxa"/>
            <w:right w:w="0" w:type="dxa"/>
          </w:tblCellMar>
        </w:tblPrEx>
        <w:trPr>
          <w:trHeight w:val="315" w:hRule="atLeast"/>
        </w:trPr>
        <w:tc>
          <w:tcPr>
            <w:tcW w:w="3780" w:type="dxa"/>
            <w:shd w:val="clear" w:color="auto" w:fill="auto"/>
            <w:vAlign w:val="bottom"/>
          </w:tcPr>
          <w:p>
            <w:pPr>
              <w:spacing w:line="0" w:lineRule="atLeast"/>
              <w:ind w:left="40"/>
              <w:rPr>
                <w:rFonts w:ascii="Arial" w:hAnsi="Arial" w:eastAsia="Arial" w:cs="Arial"/>
                <w:lang w:val="sr-Cyrl-RS"/>
              </w:rPr>
            </w:pPr>
            <w:r>
              <w:rPr>
                <w:rFonts w:ascii="Arial" w:hAnsi="Arial" w:eastAsia="Arial" w:cs="Arial"/>
                <w:lang w:val="sr-Cyrl-RS"/>
              </w:rPr>
              <w:t>Остали</w:t>
            </w:r>
          </w:p>
        </w:tc>
        <w:tc>
          <w:tcPr>
            <w:tcW w:w="2180" w:type="dxa"/>
            <w:shd w:val="clear" w:color="auto" w:fill="auto"/>
            <w:vAlign w:val="bottom"/>
          </w:tcPr>
          <w:p>
            <w:pPr>
              <w:spacing w:line="0" w:lineRule="atLeast"/>
              <w:jc w:val="right"/>
              <w:rPr>
                <w:rFonts w:ascii="Arial" w:hAnsi="Arial" w:eastAsia="Arial" w:cs="Arial"/>
                <w:b/>
                <w:lang w:val="sr-Cyrl-RS"/>
              </w:rPr>
            </w:pPr>
            <w:r>
              <w:rPr>
                <w:rFonts w:ascii="Arial" w:hAnsi="Arial" w:eastAsia="Arial" w:cs="Arial"/>
                <w:b/>
                <w:lang w:val="sr-Cyrl-RS"/>
              </w:rPr>
              <w:t>3</w:t>
            </w:r>
          </w:p>
        </w:tc>
        <w:tc>
          <w:tcPr>
            <w:tcW w:w="1420" w:type="dxa"/>
            <w:shd w:val="clear" w:color="auto" w:fill="auto"/>
            <w:vAlign w:val="bottom"/>
          </w:tcPr>
          <w:p>
            <w:pPr>
              <w:spacing w:line="0" w:lineRule="atLeast"/>
              <w:ind w:left="80"/>
              <w:rPr>
                <w:rFonts w:ascii="Arial" w:hAnsi="Arial" w:eastAsia="Arial" w:cs="Arial"/>
                <w:lang w:val="sr-Cyrl-RS"/>
              </w:rPr>
            </w:pPr>
            <w:r>
              <w:rPr>
                <w:rFonts w:ascii="Arial" w:hAnsi="Arial" w:eastAsia="Arial" w:cs="Arial"/>
                <w:lang w:val="sr-Cyrl-RS"/>
              </w:rPr>
              <w:t xml:space="preserve">  0,05%</w:t>
            </w:r>
          </w:p>
        </w:tc>
      </w:tr>
    </w:tbl>
    <w:p>
      <w:pPr>
        <w:spacing w:line="20" w:lineRule="exact"/>
        <w:rPr>
          <w:rFonts w:ascii="Arial" w:hAnsi="Arial" w:cs="Arial"/>
          <w:lang w:val="sr-Cyrl-RS"/>
        </w:rPr>
      </w:pPr>
      <w:r>
        <w:rPr>
          <w:rFonts w:ascii="Arial" w:hAnsi="Arial" w:cs="Arial"/>
          <w:lang w:eastAsia="en-US"/>
        </w:rPr>
        <mc:AlternateContent>
          <mc:Choice Requires="wps">
            <w:drawing>
              <wp:anchor distT="0" distB="0" distL="114300" distR="114300" simplePos="0" relativeHeight="251672576" behindDoc="1" locked="0" layoutInCell="1" allowOverlap="1">
                <wp:simplePos x="0" y="0"/>
                <wp:positionH relativeFrom="column">
                  <wp:posOffset>0</wp:posOffset>
                </wp:positionH>
                <wp:positionV relativeFrom="paragraph">
                  <wp:posOffset>38735</wp:posOffset>
                </wp:positionV>
                <wp:extent cx="4679315" cy="0"/>
                <wp:effectExtent l="0" t="0" r="0" b="0"/>
                <wp:wrapNone/>
                <wp:docPr id="1212431486" name="Straight Connector 54"/>
                <wp:cNvGraphicFramePr/>
                <a:graphic xmlns:a="http://schemas.openxmlformats.org/drawingml/2006/main">
                  <a:graphicData uri="http://schemas.microsoft.com/office/word/2010/wordprocessingShape">
                    <wps:wsp>
                      <wps:cNvCnPr/>
                      <wps:spPr bwMode="auto">
                        <a:xfrm>
                          <a:off x="0" y="0"/>
                          <a:ext cx="4679315" cy="0"/>
                        </a:xfrm>
                        <a:prstGeom prst="line">
                          <a:avLst/>
                        </a:prstGeom>
                        <a:noFill/>
                        <a:ln w="9525">
                          <a:solidFill>
                            <a:srgbClr val="CCCCCC"/>
                          </a:solidFill>
                          <a:round/>
                        </a:ln>
                      </wps:spPr>
                      <wps:bodyPr/>
                    </wps:wsp>
                  </a:graphicData>
                </a:graphic>
              </wp:anchor>
            </w:drawing>
          </mc:Choice>
          <mc:Fallback>
            <w:pict>
              <v:line id="Straight Connector 54" o:spid="_x0000_s1026" o:spt="20" style="position:absolute;left:0pt;margin-left:0pt;margin-top:3.05pt;height:0pt;width:368.45pt;z-index:-251643904;mso-width-relative:page;mso-height-relative:page;" filled="f" stroked="t" coordsize="21600,21600" o:gfxdata="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PSXCNQAAAAEAQAADwAAAAAAAAABACAAAAAiAAAAZHJzL2Rvd25yZXYueG1s&#10;UEsBAhQAFAAAAAgAh07iQNdhodvDAQAAhQMAAA4AAAAAAAAAAQAgAAAAIwEAAGRycy9lMm9Eb2Mu&#10;eG1sUEsFBgAAAAAGAAYAWQEAAFgFAAAAAA==&#10;">
                <v:fill on="f" focussize="0,0"/>
                <v:stroke color="#CCCCCC" joinstyle="round"/>
                <v:imagedata o:title=""/>
                <o:lock v:ext="edit" aspectratio="f"/>
              </v:line>
            </w:pict>
          </mc:Fallback>
        </mc:AlternateContent>
      </w:r>
    </w:p>
    <w:p>
      <w:pPr>
        <w:spacing w:line="90" w:lineRule="exact"/>
        <w:rPr>
          <w:rFonts w:ascii="Arial" w:hAnsi="Arial" w:cs="Arial"/>
          <w:lang w:val="sr-Cyrl-RS"/>
        </w:rPr>
      </w:pPr>
    </w:p>
    <w:p>
      <w:pPr>
        <w:spacing w:line="262" w:lineRule="auto"/>
        <w:ind w:right="1520"/>
        <w:rPr>
          <w:rFonts w:ascii="Arial" w:hAnsi="Arial" w:eastAsia="Arial" w:cs="Arial"/>
          <w:i/>
          <w:lang w:val="sr-Cyrl-RS"/>
        </w:rPr>
      </w:pPr>
      <w:r>
        <w:rPr>
          <w:rFonts w:ascii="Arial" w:hAnsi="Arial" w:eastAsia="Arial" w:cs="Arial"/>
          <w:i/>
          <w:lang w:val="sr-Cyrl-RS"/>
        </w:rPr>
        <w:t>Извор: РЗС, Попис 2022.године</w:t>
      </w:r>
    </w:p>
    <w:p>
      <w:pPr>
        <w:spacing w:line="200" w:lineRule="exact"/>
        <w:rPr>
          <w:rFonts w:ascii="Arial" w:hAnsi="Arial" w:cs="Arial"/>
          <w:lang w:val="sr-Cyrl-RS"/>
        </w:rPr>
      </w:pPr>
    </w:p>
    <w:p>
      <w:pPr>
        <w:spacing w:line="271" w:lineRule="auto"/>
        <w:jc w:val="both"/>
        <w:rPr>
          <w:rFonts w:ascii="Arial" w:hAnsi="Arial" w:eastAsia="Arial" w:cs="Arial"/>
          <w:lang w:val="sr-Cyrl-RS"/>
        </w:rPr>
      </w:pPr>
      <w:r>
        <w:rPr>
          <w:rFonts w:ascii="Arial" w:hAnsi="Arial" w:eastAsia="Arial" w:cs="Arial"/>
          <w:lang w:val="sr-Cyrl-RS"/>
        </w:rPr>
        <w:t>Образовна структура је изузетно лоша (19% неписмених) те је неопходно подстицати перманентно образовање становништва (разни облици школовања током живота).</w:t>
      </w:r>
    </w:p>
    <w:p>
      <w:pPr>
        <w:spacing w:line="21" w:lineRule="exact"/>
        <w:rPr>
          <w:rFonts w:ascii="Arial" w:hAnsi="Arial" w:cs="Arial"/>
          <w:lang w:val="sr-Cyrl-RS"/>
        </w:rPr>
      </w:pPr>
    </w:p>
    <w:p>
      <w:pPr>
        <w:spacing w:line="275" w:lineRule="auto"/>
        <w:ind w:right="20"/>
        <w:jc w:val="both"/>
        <w:rPr>
          <w:rFonts w:ascii="Arial" w:hAnsi="Arial" w:eastAsia="Arial" w:cs="Arial"/>
          <w:lang w:val="sr-Cyrl-RS"/>
        </w:rPr>
      </w:pPr>
      <w:r>
        <w:rPr>
          <w:rFonts w:ascii="Arial" w:hAnsi="Arial" w:eastAsia="Arial" w:cs="Arial"/>
          <w:lang w:val="sr-Cyrl-RS"/>
        </w:rPr>
        <w:t>Одлив становништва и слаб природни прираштај допринео је и смањењу броја ученика. Захваљујући томе постојеће две школе интегрисане су у јединствену, која у свом саставу има још четри осморазредне истурене школске јединице (Горњи Барбеш, Топоница, Доњи Душник, Личје), и још дванаест четвороразредних (Тасковићи, Марина Кутина, Гркиња, Доње Драговље, Мали Вртоп, Семче, Мали Крчимир), која као таква и данас егзистира. 1993. године број осморазредних школских јединица повећан је за још једну. У Топоници изграђена је нова школа за ученике од првог до осмог разреда. Број четвороразредних школских јединица такође је повећан за једну и то у Малом Вртопу, за ученике од првог до четвртог разреда. Највећи број школа, нарочито подручних одељења, према опреми и комуналној опремљености на граници је минималног стандарда (лоше стање или непостојање фискултурне сале и друге опреме). На територији Општине Гаџин Хан не постоји специјална школа за децу ометену у развоју, као и дневни боравак за хендикепирану децу.</w:t>
      </w:r>
    </w:p>
    <w:p>
      <w:pPr>
        <w:pStyle w:val="4"/>
        <w:rPr>
          <w:rFonts w:ascii="Arial" w:hAnsi="Arial" w:eastAsia="Arial" w:cs="Arial"/>
          <w:szCs w:val="24"/>
          <w:lang w:val="sr-Cyrl-RS"/>
        </w:rPr>
      </w:pPr>
      <w:bookmarkStart w:id="35" w:name="_Toc159226517"/>
      <w:bookmarkStart w:id="36" w:name="_Toc144818236"/>
      <w:r>
        <w:rPr>
          <w:rFonts w:ascii="Arial" w:hAnsi="Arial" w:eastAsia="Arial" w:cs="Arial"/>
          <w:szCs w:val="24"/>
          <w:lang w:val="sr-Cyrl-RS"/>
        </w:rPr>
        <w:t>Климатске карактеристике</w:t>
      </w:r>
      <w:bookmarkEnd w:id="35"/>
      <w:bookmarkEnd w:id="36"/>
    </w:p>
    <w:p>
      <w:pPr>
        <w:spacing w:line="0" w:lineRule="atLeast"/>
        <w:jc w:val="both"/>
        <w:rPr>
          <w:rFonts w:ascii="Arial" w:hAnsi="Arial" w:eastAsia="Arial" w:cs="Arial"/>
          <w:lang w:val="sr-Cyrl-RS"/>
        </w:rPr>
      </w:pPr>
      <w:r>
        <w:rPr>
          <w:rFonts w:ascii="Arial" w:hAnsi="Arial" w:eastAsia="Arial" w:cs="Arial"/>
          <w:lang w:val="sr-Cyrl-RS"/>
        </w:rPr>
        <w:t xml:space="preserve">Гаџин Хан има умерено-континенталну климу у нижој зони, док на Сувој планини и Бабичкој гори она задобија карактеристике </w:t>
      </w:r>
      <w:r>
        <w:rPr>
          <w:rFonts w:ascii="Arial" w:hAnsi="Arial" w:eastAsia="Arial" w:cs="Arial"/>
          <w:b/>
          <w:lang w:val="sr-Cyrl-RS"/>
        </w:rPr>
        <w:t>субпланинске</w:t>
      </w:r>
      <w:r>
        <w:rPr>
          <w:rFonts w:ascii="Arial" w:hAnsi="Arial" w:eastAsia="Arial" w:cs="Arial"/>
          <w:lang w:val="sr-Cyrl-RS"/>
        </w:rPr>
        <w:t xml:space="preserve"> и </w:t>
      </w:r>
      <w:r>
        <w:rPr>
          <w:rFonts w:ascii="Arial" w:hAnsi="Arial" w:eastAsia="Arial" w:cs="Arial"/>
          <w:b/>
          <w:lang w:val="sr-Cyrl-RS"/>
        </w:rPr>
        <w:t>планинске</w:t>
      </w:r>
      <w:r>
        <w:rPr>
          <w:rFonts w:ascii="Arial" w:hAnsi="Arial" w:eastAsia="Arial" w:cs="Arial"/>
          <w:lang w:val="sr-Cyrl-RS"/>
        </w:rPr>
        <w:t xml:space="preserve"> климе. У Горњем Заплању преовладава нешто оштрија умерено-континентална клима, док је у Доњем Заплању она нешто блажа. Дужина периода без мразева износи 230 дана у Нишу и околини, а то је највећи број дана у Србији по том критеријуму.</w:t>
      </w:r>
    </w:p>
    <w:p>
      <w:pPr>
        <w:spacing w:line="263" w:lineRule="auto"/>
        <w:ind w:right="20"/>
        <w:rPr>
          <w:rFonts w:ascii="Arial" w:hAnsi="Arial" w:eastAsia="Arial" w:cs="Arial"/>
          <w:i/>
          <w:lang w:val="sr-Cyrl-RS"/>
        </w:rPr>
      </w:pPr>
    </w:p>
    <w:p>
      <w:pPr>
        <w:spacing w:line="263" w:lineRule="auto"/>
        <w:ind w:right="20"/>
        <w:rPr>
          <w:rFonts w:ascii="Arial" w:hAnsi="Arial" w:eastAsia="Arial" w:cs="Arial"/>
          <w:i/>
          <w:lang w:val="sr-Cyrl-RS"/>
        </w:rPr>
      </w:pPr>
      <w:r>
        <w:rPr>
          <w:rFonts w:ascii="Arial" w:hAnsi="Arial" w:eastAsia="Arial" w:cs="Arial"/>
          <w:i/>
          <w:lang w:val="sr-Cyrl-RS"/>
        </w:rPr>
        <w:t>Табела 5. Гаџин Хан, Климатске карактеристике</w:t>
      </w:r>
    </w:p>
    <w:p>
      <w:pPr>
        <w:spacing w:line="25" w:lineRule="exact"/>
        <w:rPr>
          <w:rFonts w:ascii="Arial" w:hAnsi="Arial" w:eastAsia="Arial" w:cs="Arial"/>
          <w:lang w:val="sr-Cyrl-RS"/>
        </w:rPr>
      </w:pPr>
    </w:p>
    <w:p>
      <w:pPr>
        <w:spacing w:line="274" w:lineRule="auto"/>
        <w:ind w:left="1400" w:right="180"/>
        <w:rPr>
          <w:rFonts w:ascii="Arial" w:hAnsi="Arial" w:eastAsia="Arial" w:cs="Arial"/>
          <w:lang w:val="sr-Cyrl-RS"/>
        </w:rPr>
      </w:pPr>
      <w:r>
        <w:rPr>
          <w:rFonts w:ascii="Arial" w:hAnsi="Arial" w:eastAsia="Arial" w:cs="Arial"/>
          <w:lang w:val="sr-Cyrl-RS"/>
        </w:rPr>
        <w:t xml:space="preserve">Апсолутно максималне температуре ваздуха јављају се у периоду од маја до септембра и износе </w:t>
      </w:r>
      <w:r>
        <w:rPr>
          <w:rFonts w:ascii="Arial" w:hAnsi="Arial" w:eastAsia="Arial" w:cs="Arial"/>
          <w:b/>
          <w:lang w:val="sr-Cyrl-RS"/>
        </w:rPr>
        <w:t>преко 30 ° C</w:t>
      </w:r>
      <w:r>
        <w:rPr>
          <w:rFonts w:ascii="Arial" w:hAnsi="Arial" w:eastAsia="Arial" w:cs="Arial"/>
          <w:lang w:val="sr-Cyrl-RS"/>
        </w:rPr>
        <w:t xml:space="preserve">, док у јулу и августу температуре ваздуха су </w:t>
      </w:r>
      <w:r>
        <w:rPr>
          <w:rFonts w:ascii="Arial" w:hAnsi="Arial" w:eastAsia="Arial" w:cs="Arial"/>
          <w:b/>
          <w:lang w:val="sr-Cyrl-RS"/>
        </w:rPr>
        <w:t>преко 35 ° C</w:t>
      </w:r>
      <w:r>
        <w:rPr>
          <w:rFonts w:ascii="Arial" w:hAnsi="Arial" w:eastAsia="Arial" w:cs="Arial"/>
          <w:lang w:val="sr-Cyrl-RS"/>
        </w:rPr>
        <w:t xml:space="preserve">. Просечна најнижа температура током зиме је </w:t>
      </w:r>
      <w:r>
        <w:rPr>
          <w:rFonts w:ascii="Arial" w:hAnsi="Arial" w:eastAsia="Arial" w:cs="Arial"/>
          <w:b/>
          <w:lang w:val="sr-Cyrl-RS"/>
        </w:rPr>
        <w:t>– 2.8 ° C</w:t>
      </w:r>
      <w:r>
        <w:rPr>
          <w:rFonts w:ascii="Arial" w:hAnsi="Arial" w:eastAsia="Arial" w:cs="Arial"/>
          <w:lang w:val="sr-Cyrl-RS"/>
        </w:rPr>
        <w:t xml:space="preserve"> (Јануар је најхладнији месец -3.8), просечна највиша температура је </w:t>
      </w:r>
      <w:r>
        <w:rPr>
          <w:rFonts w:ascii="Arial" w:hAnsi="Arial" w:eastAsia="Arial" w:cs="Arial"/>
          <w:b/>
          <w:lang w:val="sr-Cyrl-RS"/>
        </w:rPr>
        <w:t>7.2 ° C</w:t>
      </w:r>
      <w:r>
        <w:rPr>
          <w:rFonts w:ascii="Arial" w:hAnsi="Arial" w:eastAsia="Arial" w:cs="Arial"/>
          <w:lang w:val="sr-Cyrl-RS"/>
        </w:rPr>
        <w:t xml:space="preserve"> (Март најтоплији месец са 10.3 ° Ц ).</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70528" behindDoc="1" locked="0" layoutInCell="1" allowOverlap="1">
            <wp:simplePos x="0" y="0"/>
            <wp:positionH relativeFrom="column">
              <wp:posOffset>635</wp:posOffset>
            </wp:positionH>
            <wp:positionV relativeFrom="paragraph">
              <wp:posOffset>-1212215</wp:posOffset>
            </wp:positionV>
            <wp:extent cx="5765165" cy="4354195"/>
            <wp:effectExtent l="0" t="0" r="0" b="0"/>
            <wp:wrapNone/>
            <wp:docPr id="533" name="Picture 141" descr="A grid of lines with a person in a blue shi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3" name="Picture 141" descr="A grid of lines with a person in a blue shirt&#10;&#10;Description automatically generated with medium confidence"/>
                    <pic:cNvPicPr/>
                  </pic:nvPicPr>
                  <pic:blipFill>
                    <a:blip r:embed="rId15" cstate="email"/>
                    <a:srcRect/>
                    <a:stretch>
                      <a:fillRect/>
                    </a:stretch>
                  </pic:blipFill>
                  <pic:spPr>
                    <a:xfrm>
                      <a:off x="0" y="0"/>
                      <a:ext cx="5765165" cy="4354195"/>
                    </a:xfrm>
                    <a:prstGeom prst="rect">
                      <a:avLst/>
                    </a:prstGeom>
                    <a:noFill/>
                    <a:ln>
                      <a:noFill/>
                    </a:ln>
                  </pic:spPr>
                </pic:pic>
              </a:graphicData>
            </a:graphic>
          </wp:anchor>
        </w:drawing>
      </w:r>
    </w:p>
    <w:p>
      <w:pPr>
        <w:spacing w:line="5" w:lineRule="exact"/>
        <w:rPr>
          <w:rFonts w:ascii="Arial" w:hAnsi="Arial" w:cs="Arial"/>
          <w:lang w:val="sr-Cyrl-RS"/>
        </w:rPr>
      </w:pPr>
    </w:p>
    <w:p>
      <w:pPr>
        <w:spacing w:line="238" w:lineRule="auto"/>
        <w:ind w:left="1400" w:right="140"/>
        <w:rPr>
          <w:rFonts w:ascii="Arial" w:hAnsi="Arial" w:eastAsia="Arial" w:cs="Arial"/>
          <w:lang w:val="sr-Cyrl-RS"/>
        </w:rPr>
      </w:pPr>
      <w:r>
        <w:rPr>
          <w:rFonts w:ascii="Arial" w:hAnsi="Arial" w:eastAsia="Arial" w:cs="Arial"/>
          <w:lang w:val="sr-Cyrl-RS"/>
        </w:rPr>
        <w:t xml:space="preserve">Годишње у просеку падне </w:t>
      </w:r>
      <w:r>
        <w:rPr>
          <w:rFonts w:ascii="Arial" w:hAnsi="Arial" w:eastAsia="Arial" w:cs="Arial"/>
          <w:b/>
          <w:lang w:val="sr-Cyrl-RS"/>
        </w:rPr>
        <w:t>543 мм кише</w:t>
      </w:r>
      <w:r>
        <w:rPr>
          <w:rFonts w:ascii="Arial" w:hAnsi="Arial" w:eastAsia="Arial" w:cs="Arial"/>
          <w:lang w:val="sr-Cyrl-RS"/>
        </w:rPr>
        <w:t xml:space="preserve">. Најкишовитији месеци су мај, јун и октобар. У току године сунце сија око </w:t>
      </w:r>
      <w:r>
        <w:rPr>
          <w:rFonts w:ascii="Arial" w:hAnsi="Arial" w:eastAsia="Arial" w:cs="Arial"/>
          <w:b/>
          <w:lang w:val="sr-Cyrl-RS"/>
        </w:rPr>
        <w:t>2100 часова</w:t>
      </w:r>
      <w:r>
        <w:rPr>
          <w:rFonts w:ascii="Arial" w:hAnsi="Arial" w:eastAsia="Arial" w:cs="Arial"/>
          <w:lang w:val="sr-Cyrl-RS"/>
        </w:rPr>
        <w:t>. Месец са највише сунчаних сати је август, а месец са најмање сунчаних сати је јануар. Трајање сунчевог сјаја је веома изражено</w:t>
      </w:r>
    </w:p>
    <w:p>
      <w:pPr>
        <w:spacing w:line="11" w:lineRule="exact"/>
        <w:rPr>
          <w:rFonts w:ascii="Arial" w:hAnsi="Arial" w:cs="Arial"/>
          <w:lang w:val="sr-Cyrl-RS"/>
        </w:rPr>
      </w:pPr>
    </w:p>
    <w:p>
      <w:pPr>
        <w:numPr>
          <w:ilvl w:val="0"/>
          <w:numId w:val="11"/>
        </w:numPr>
        <w:tabs>
          <w:tab w:val="left" w:pos="1585"/>
        </w:tabs>
        <w:spacing w:line="236" w:lineRule="auto"/>
        <w:ind w:left="1400" w:right="340" w:hanging="4"/>
        <w:rPr>
          <w:rFonts w:ascii="Arial" w:hAnsi="Arial" w:eastAsia="Arial" w:cs="Arial"/>
          <w:lang w:val="sr-Cyrl-RS"/>
        </w:rPr>
      </w:pPr>
      <w:r>
        <w:rPr>
          <w:rFonts w:ascii="Arial" w:hAnsi="Arial" w:eastAsia="Arial" w:cs="Arial"/>
          <w:lang w:val="sr-Cyrl-RS"/>
        </w:rPr>
        <w:t>току пролећних и летњих месеци, из тог разлога у току вегетационе сезоне постоји повољан светлосни режим за гајење биљака.</w:t>
      </w:r>
    </w:p>
    <w:p>
      <w:pPr>
        <w:spacing w:line="26" w:lineRule="exact"/>
        <w:rPr>
          <w:rFonts w:ascii="Arial" w:hAnsi="Arial" w:eastAsia="Arial" w:cs="Arial"/>
          <w:lang w:val="sr-Cyrl-RS"/>
        </w:rPr>
      </w:pPr>
    </w:p>
    <w:p>
      <w:pPr>
        <w:spacing w:line="272" w:lineRule="auto"/>
        <w:ind w:left="1400" w:right="80"/>
        <w:jc w:val="both"/>
        <w:rPr>
          <w:rFonts w:ascii="Arial" w:hAnsi="Arial" w:eastAsia="Arial" w:cs="Arial"/>
          <w:lang w:val="sr-Cyrl-RS"/>
        </w:rPr>
      </w:pPr>
      <w:r>
        <w:rPr>
          <w:rFonts w:ascii="Arial" w:hAnsi="Arial" w:eastAsia="Arial" w:cs="Arial"/>
          <w:lang w:val="sr-Cyrl-RS"/>
        </w:rPr>
        <w:t>Доминантан ветар је северозападни, који је константан током целе године и спада у групу благог поветарца. У летњим месецима поред северозападног ветра чести су и ветрови из правца истока и севера, који се, такође, могу сврстати у групу благих поветараца. Релативна влажност ваздуха у летњем периоду је мала.</w:t>
      </w:r>
    </w:p>
    <w:p>
      <w:pPr>
        <w:spacing w:line="32" w:lineRule="exact"/>
        <w:rPr>
          <w:rFonts w:ascii="Arial" w:hAnsi="Arial" w:cs="Arial"/>
          <w:lang w:val="sr-Cyrl-RS"/>
        </w:rPr>
      </w:pPr>
    </w:p>
    <w:p>
      <w:pPr>
        <w:spacing w:line="238" w:lineRule="auto"/>
        <w:ind w:left="1400" w:right="200"/>
        <w:rPr>
          <w:rFonts w:ascii="Arial" w:hAnsi="Arial" w:eastAsia="Arial" w:cs="Arial"/>
          <w:lang w:val="sr-Cyrl-RS"/>
        </w:rPr>
      </w:pPr>
      <w:r>
        <w:rPr>
          <w:rFonts w:ascii="Arial" w:hAnsi="Arial" w:eastAsia="Arial" w:cs="Arial"/>
          <w:lang w:val="sr-Cyrl-RS"/>
        </w:rPr>
        <w:t xml:space="preserve">Први мразеви се јављају у другој и трећој декади октобра, а последњи у другој декади априла. Безмразни период траје око 5,5 месеци, што омогућава успешно гајење великог броја биљних врста. Месец са просечно највише снежних падавине је </w:t>
      </w:r>
      <w:r>
        <w:rPr>
          <w:rFonts w:ascii="Arial" w:hAnsi="Arial" w:eastAsia="Arial" w:cs="Arial"/>
          <w:b/>
          <w:lang w:val="sr-Cyrl-RS"/>
        </w:rPr>
        <w:t>Јануар</w:t>
      </w:r>
      <w:r>
        <w:rPr>
          <w:rFonts w:ascii="Arial" w:hAnsi="Arial" w:eastAsia="Arial" w:cs="Arial"/>
          <w:lang w:val="sr-Cyrl-RS"/>
        </w:rPr>
        <w:t xml:space="preserve"> (149mm).</w:t>
      </w:r>
    </w:p>
    <w:p>
      <w:pPr>
        <w:spacing w:line="22" w:lineRule="exact"/>
        <w:rPr>
          <w:rFonts w:ascii="Arial" w:hAnsi="Arial" w:cs="Arial"/>
          <w:lang w:val="sr-Cyrl-RS"/>
        </w:rPr>
      </w:pPr>
    </w:p>
    <w:p>
      <w:pPr>
        <w:spacing w:line="263" w:lineRule="auto"/>
        <w:ind w:right="20"/>
        <w:rPr>
          <w:rFonts w:ascii="Arial" w:hAnsi="Arial" w:eastAsia="Arial" w:cs="Arial"/>
          <w:i/>
          <w:lang w:val="sr-Cyrl-RS"/>
        </w:rPr>
      </w:pPr>
      <w:r>
        <w:rPr>
          <w:rFonts w:ascii="Arial" w:hAnsi="Arial" w:eastAsia="Arial" w:cs="Arial"/>
          <w:i/>
          <w:lang w:val="sr-Cyrl-RS"/>
        </w:rPr>
        <w:t>Извор: Хидрометеоролошки завод Р. Србије и Стратегија-одрживог-развоја-Општине-Гаџин-Хан-2012-2022</w:t>
      </w:r>
    </w:p>
    <w:p>
      <w:pPr>
        <w:spacing w:line="172" w:lineRule="exact"/>
        <w:rPr>
          <w:rFonts w:ascii="Arial" w:hAnsi="Arial" w:cs="Arial"/>
          <w:lang w:val="sr-Cyrl-RS"/>
        </w:rPr>
      </w:pPr>
    </w:p>
    <w:p>
      <w:pPr>
        <w:spacing w:line="0" w:lineRule="atLeast"/>
        <w:rPr>
          <w:rFonts w:ascii="Arial" w:hAnsi="Arial" w:eastAsia="Arial" w:cs="Arial"/>
          <w:vertAlign w:val="superscript"/>
          <w:lang w:val="sr-Cyrl-RS"/>
        </w:rPr>
      </w:pPr>
      <w:r>
        <w:rPr>
          <w:rFonts w:ascii="Arial" w:hAnsi="Arial" w:eastAsia="Arial" w:cs="Arial"/>
          <w:lang w:val="sr-Cyrl-RS"/>
        </w:rPr>
        <w:t>Климатске карактеристике Гаџиног Хана имају предност у:</w:t>
      </w:r>
    </w:p>
    <w:p>
      <w:pPr>
        <w:spacing w:line="26" w:lineRule="exact"/>
        <w:rPr>
          <w:rFonts w:ascii="Arial" w:hAnsi="Arial" w:cs="Arial"/>
          <w:lang w:val="sr-Cyrl-RS"/>
        </w:rPr>
      </w:pPr>
    </w:p>
    <w:p>
      <w:pPr>
        <w:numPr>
          <w:ilvl w:val="0"/>
          <w:numId w:val="12"/>
        </w:numPr>
        <w:tabs>
          <w:tab w:val="left" w:pos="720"/>
        </w:tabs>
        <w:spacing w:line="272" w:lineRule="auto"/>
        <w:ind w:left="720" w:right="20" w:hanging="359"/>
        <w:jc w:val="both"/>
        <w:rPr>
          <w:rFonts w:ascii="Arial" w:hAnsi="Arial" w:eastAsia="Arial" w:cs="Arial"/>
          <w:lang w:val="sr-Cyrl-RS"/>
        </w:rPr>
      </w:pPr>
      <w:r>
        <w:rPr>
          <w:rFonts w:ascii="Arial" w:hAnsi="Arial" w:eastAsia="Arial" w:cs="Arial"/>
          <w:lang w:val="sr-Cyrl-RS"/>
        </w:rPr>
        <w:t>Виноградарској производњи и у производњи семена и дувана, те јагодичастог воћа (јагода, малина, купина и вишања). Ове карактеристике дају и могућност за производњу органске здраве хране која је саставни део гастрономске туристичке понуде.</w:t>
      </w:r>
    </w:p>
    <w:p>
      <w:pPr>
        <w:spacing w:line="34" w:lineRule="exact"/>
        <w:rPr>
          <w:rFonts w:ascii="Arial" w:hAnsi="Arial" w:eastAsia="Arial" w:cs="Arial"/>
          <w:lang w:val="sr-Cyrl-RS"/>
        </w:rPr>
      </w:pPr>
    </w:p>
    <w:p>
      <w:pPr>
        <w:numPr>
          <w:ilvl w:val="0"/>
          <w:numId w:val="12"/>
        </w:numPr>
        <w:tabs>
          <w:tab w:val="left" w:pos="720"/>
        </w:tabs>
        <w:spacing w:line="264" w:lineRule="auto"/>
        <w:ind w:left="720" w:right="20" w:hanging="359"/>
        <w:rPr>
          <w:rFonts w:ascii="Arial" w:hAnsi="Arial" w:eastAsia="Arial" w:cs="Arial"/>
          <w:lang w:val="sr-Cyrl-RS"/>
        </w:rPr>
      </w:pPr>
      <w:r>
        <w:rPr>
          <w:rFonts w:ascii="Arial" w:hAnsi="Arial" w:eastAsia="Arial" w:cs="Arial"/>
          <w:lang w:val="sr-Cyrl-RS"/>
        </w:rPr>
        <w:t>Повољних услова за развој пчеларства, за производњу меда и других пчелињих производа.</w:t>
      </w:r>
    </w:p>
    <w:p>
      <w:pPr>
        <w:spacing w:line="47" w:lineRule="exact"/>
        <w:rPr>
          <w:rFonts w:ascii="Arial" w:hAnsi="Arial" w:eastAsia="Arial" w:cs="Arial"/>
          <w:lang w:val="sr-Cyrl-RS"/>
        </w:rPr>
      </w:pPr>
    </w:p>
    <w:p>
      <w:pPr>
        <w:numPr>
          <w:ilvl w:val="0"/>
          <w:numId w:val="12"/>
        </w:numPr>
        <w:tabs>
          <w:tab w:val="left" w:pos="720"/>
        </w:tabs>
        <w:spacing w:line="260" w:lineRule="auto"/>
        <w:ind w:left="720" w:right="20" w:hanging="359"/>
        <w:rPr>
          <w:rFonts w:ascii="Arial" w:hAnsi="Arial" w:eastAsia="Arial" w:cs="Arial"/>
          <w:lang w:val="sr-Cyrl-RS"/>
        </w:rPr>
        <w:sectPr>
          <w:pgSz w:w="11900" w:h="16840"/>
          <w:pgMar w:top="707" w:right="1425" w:bottom="551" w:left="1440" w:header="0" w:footer="0" w:gutter="0"/>
          <w:cols w:equalWidth="0" w:num="1">
            <w:col w:w="9040"/>
          </w:cols>
          <w:docGrid w:linePitch="360" w:charSpace="0"/>
        </w:sectPr>
      </w:pPr>
      <w:r>
        <w:rPr>
          <w:rFonts w:ascii="Arial" w:hAnsi="Arial" w:eastAsia="Arial" w:cs="Arial"/>
          <w:lang w:val="sr-Cyrl-RS"/>
        </w:rPr>
        <w:t>Условима за развој сточарства, јер 37,2% укупног пољопривредног земљишта обухватају ливаде и пашњаци</w:t>
      </w:r>
      <w:r>
        <w:rPr>
          <w:rFonts w:ascii="Arial" w:hAnsi="Arial" w:cs="Arial"/>
          <w:lang w:eastAsia="en-US"/>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270510</wp:posOffset>
                </wp:positionV>
                <wp:extent cx="1830070" cy="0"/>
                <wp:effectExtent l="0" t="0" r="0" b="0"/>
                <wp:wrapNone/>
                <wp:docPr id="771077758" name="Straight Connector 53"/>
                <wp:cNvGraphicFramePr/>
                <a:graphic xmlns:a="http://schemas.openxmlformats.org/drawingml/2006/main">
                  <a:graphicData uri="http://schemas.microsoft.com/office/word/2010/wordprocessingShape">
                    <wps:wsp>
                      <wps:cNvCnPr/>
                      <wps:spPr bwMode="auto">
                        <a:xfrm>
                          <a:off x="0" y="0"/>
                          <a:ext cx="1830070" cy="0"/>
                        </a:xfrm>
                        <a:prstGeom prst="line">
                          <a:avLst/>
                        </a:prstGeom>
                        <a:noFill/>
                        <a:ln w="6350">
                          <a:solidFill>
                            <a:srgbClr val="000000"/>
                          </a:solidFill>
                          <a:round/>
                        </a:ln>
                      </wps:spPr>
                      <wps:bodyPr/>
                    </wps:wsp>
                  </a:graphicData>
                </a:graphic>
              </wp:anchor>
            </w:drawing>
          </mc:Choice>
          <mc:Fallback>
            <w:pict>
              <v:line id="Straight Connector 53" o:spid="_x0000_s1026" o:spt="20" style="position:absolute;left:0pt;margin-left:0pt;margin-top:21.3pt;height:0pt;width:144.1pt;z-index:-251644928;mso-width-relative:page;mso-height-relative:page;" filled="f" stroked="t" coordsize="21600,21600" o:gfxdata="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3I9wbTAAAABgEAAA8AAAAAAAAAAQAgAAAAIgAAAGRycy9kb3ducmV2LnhtbFBLAQIU&#10;ABQAAAAIAIdO4kDOkcluvwEAAIQDAAAOAAAAAAAAAAEAIAAAACIBAABkcnMvZTJvRG9jLnhtbFBL&#10;BQYAAAAABgAGAFkBAABTBQAAAAA=&#10;">
                <v:fill on="f" focussize="0,0"/>
                <v:stroke weight="0.5pt" color="#000000" joinstyle="round"/>
                <v:imagedata o:title=""/>
                <o:lock v:ext="edit" aspectratio="f"/>
              </v:line>
            </w:pict>
          </mc:Fallback>
        </mc:AlternateContent>
      </w:r>
      <w:r>
        <w:rPr>
          <w:rFonts w:ascii="Arial" w:hAnsi="Arial" w:eastAsia="Arial" w:cs="Arial"/>
          <w:lang w:val="sr-Cyrl-RS"/>
        </w:rPr>
        <w:t>.</w:t>
      </w:r>
    </w:p>
    <w:p>
      <w:pPr>
        <w:spacing w:line="0" w:lineRule="atLeast"/>
        <w:rPr>
          <w:rFonts w:ascii="Arial" w:hAnsi="Arial" w:cs="Arial"/>
          <w:lang w:val="sr-Cyrl-RS"/>
        </w:rPr>
        <w:sectPr>
          <w:pgSz w:w="11900" w:h="16840"/>
          <w:pgMar w:top="707" w:right="1425" w:bottom="551" w:left="1440" w:header="0" w:footer="0" w:gutter="0"/>
          <w:cols w:equalWidth="0" w:num="1">
            <w:col w:w="9040"/>
          </w:cols>
          <w:docGrid w:linePitch="360" w:charSpace="0"/>
        </w:sectPr>
      </w:pPr>
      <w:bookmarkStart w:id="37" w:name="page10"/>
      <w:bookmarkEnd w:id="37"/>
    </w:p>
    <w:p>
      <w:pPr>
        <w:spacing w:line="302" w:lineRule="exact"/>
        <w:rPr>
          <w:rFonts w:ascii="Arial" w:hAnsi="Arial" w:cs="Arial"/>
          <w:lang w:val="sr-Cyrl-RS"/>
        </w:rPr>
      </w:pPr>
      <w:bookmarkStart w:id="38" w:name="page24"/>
      <w:bookmarkEnd w:id="38"/>
      <w:bookmarkStart w:id="39" w:name="page11"/>
      <w:bookmarkEnd w:id="39"/>
    </w:p>
    <w:p>
      <w:pPr>
        <w:pStyle w:val="3"/>
        <w:rPr>
          <w:rFonts w:eastAsia="Arial"/>
        </w:rPr>
      </w:pPr>
      <w:bookmarkStart w:id="40" w:name="_Toc143596914"/>
      <w:bookmarkStart w:id="41" w:name="_Toc144818237"/>
      <w:bookmarkStart w:id="42" w:name="_Toc159226518"/>
      <w:r>
        <w:rPr>
          <w:rFonts w:eastAsia="Arial"/>
        </w:rPr>
        <w:t>4.2. Културно-историјско наслеђе</w:t>
      </w:r>
      <w:bookmarkEnd w:id="40"/>
      <w:bookmarkEnd w:id="41"/>
      <w:bookmarkEnd w:id="42"/>
    </w:p>
    <w:p>
      <w:pPr>
        <w:spacing w:line="250" w:lineRule="exact"/>
        <w:rPr>
          <w:rFonts w:ascii="Arial" w:hAnsi="Arial" w:cs="Arial"/>
          <w:lang w:val="sr-Cyrl-RS"/>
        </w:rPr>
      </w:pPr>
    </w:p>
    <w:p>
      <w:pPr>
        <w:spacing w:line="272" w:lineRule="auto"/>
        <w:jc w:val="both"/>
        <w:rPr>
          <w:rFonts w:ascii="Arial" w:hAnsi="Arial" w:eastAsia="Arial" w:cs="Arial"/>
          <w:lang w:val="sr-Cyrl-RS"/>
        </w:rPr>
      </w:pPr>
      <w:r>
        <w:rPr>
          <w:rFonts w:ascii="Arial" w:hAnsi="Arial" w:eastAsia="Arial" w:cs="Arial"/>
          <w:lang w:val="sr-Cyrl-RS"/>
        </w:rPr>
        <w:t>Најстарија насеља у југоисточној Србији потичу из млађег каменог доба - неолита. Пронађено је више предмета из периода неолита (камене секире) у селима Краставчу, Гркињи, Доњем Барбешу и Горњем Барбешу. Ови предмети поклоњени су Народном музеју у Нишу.</w:t>
      </w:r>
    </w:p>
    <w:p>
      <w:pPr>
        <w:spacing w:line="19" w:lineRule="exact"/>
        <w:rPr>
          <w:rFonts w:ascii="Arial" w:hAnsi="Arial" w:cs="Arial"/>
          <w:lang w:val="sr-Cyrl-RS"/>
        </w:rPr>
      </w:pPr>
    </w:p>
    <w:p>
      <w:pPr>
        <w:spacing w:line="271" w:lineRule="auto"/>
        <w:jc w:val="both"/>
        <w:rPr>
          <w:rFonts w:ascii="Arial" w:hAnsi="Arial" w:eastAsia="Arial" w:cs="Arial"/>
          <w:lang w:val="sr-Cyrl-RS"/>
        </w:rPr>
      </w:pPr>
      <w:r>
        <w:rPr>
          <w:rFonts w:ascii="Arial" w:hAnsi="Arial" w:eastAsia="Arial" w:cs="Arial"/>
          <w:lang w:val="sr-Cyrl-RS"/>
        </w:rPr>
        <w:t>Из периода бронзаног доба пронађена је камена секира - келт који се чува у Народном музеју у Београду. Бронзани келт је пронађен у близини цркве Св. Николе 1885. године.</w:t>
      </w:r>
    </w:p>
    <w:p>
      <w:pPr>
        <w:spacing w:line="16" w:lineRule="exact"/>
        <w:rPr>
          <w:rFonts w:ascii="Arial" w:hAnsi="Arial" w:cs="Arial"/>
          <w:lang w:val="sr-Cyrl-RS"/>
        </w:rPr>
      </w:pPr>
    </w:p>
    <w:p>
      <w:pPr>
        <w:spacing w:line="272" w:lineRule="auto"/>
        <w:ind w:right="20"/>
        <w:jc w:val="both"/>
        <w:rPr>
          <w:rFonts w:ascii="Arial" w:hAnsi="Arial" w:eastAsia="Arial" w:cs="Arial"/>
          <w:lang w:val="sr-Cyrl-RS"/>
        </w:rPr>
      </w:pPr>
      <w:r>
        <w:rPr>
          <w:rFonts w:ascii="Arial" w:hAnsi="Arial" w:eastAsia="Arial" w:cs="Arial"/>
          <w:lang w:val="sr-Cyrl-RS"/>
        </w:rPr>
        <w:t>По завршетку Медијана групе негде у XIII или XII веку пре н.е. настаје једна велика епоха која траје све до римског освајања, а због употребе гвожђа назива се гвоздено доба. Из овог периода у селу Великом Крчимиру откривена је наруквица од бронзе.</w:t>
      </w:r>
    </w:p>
    <w:p>
      <w:pPr>
        <w:spacing w:line="19" w:lineRule="exact"/>
        <w:rPr>
          <w:rFonts w:ascii="Arial" w:hAnsi="Arial" w:cs="Arial"/>
          <w:lang w:val="sr-Cyrl-RS"/>
        </w:rPr>
      </w:pPr>
    </w:p>
    <w:p>
      <w:pPr>
        <w:numPr>
          <w:ilvl w:val="0"/>
          <w:numId w:val="13"/>
        </w:numPr>
        <w:tabs>
          <w:tab w:val="left" w:pos="205"/>
        </w:tabs>
        <w:spacing w:line="271" w:lineRule="auto"/>
        <w:ind w:right="20" w:firstLine="1"/>
        <w:jc w:val="both"/>
        <w:rPr>
          <w:rFonts w:ascii="Arial" w:hAnsi="Arial" w:eastAsia="Arial" w:cs="Arial"/>
          <w:lang w:val="sr-Cyrl-RS"/>
        </w:rPr>
      </w:pPr>
      <w:r>
        <w:rPr>
          <w:rFonts w:ascii="Arial" w:hAnsi="Arial" w:eastAsia="Arial" w:cs="Arial"/>
          <w:lang w:val="sr-Cyrl-RS"/>
        </w:rPr>
        <w:t>Античко доба данашња област Заплања улазила је у састав римске провинције Горње Мезије коју су у току I века наше ере на територији Србије основали Римљани.</w:t>
      </w:r>
    </w:p>
    <w:p>
      <w:pPr>
        <w:spacing w:line="15" w:lineRule="exact"/>
        <w:rPr>
          <w:rFonts w:ascii="Arial" w:hAnsi="Arial" w:eastAsia="Arial" w:cs="Arial"/>
          <w:lang w:val="sr-Cyrl-RS"/>
        </w:rPr>
      </w:pPr>
    </w:p>
    <w:p>
      <w:pPr>
        <w:numPr>
          <w:ilvl w:val="0"/>
          <w:numId w:val="13"/>
        </w:numPr>
        <w:tabs>
          <w:tab w:val="left" w:pos="215"/>
        </w:tabs>
        <w:spacing w:line="274" w:lineRule="auto"/>
        <w:ind w:right="20" w:firstLine="1"/>
        <w:jc w:val="both"/>
        <w:rPr>
          <w:rFonts w:ascii="Arial" w:hAnsi="Arial" w:eastAsia="Arial" w:cs="Arial"/>
          <w:lang w:val="sr-Cyrl-RS"/>
        </w:rPr>
      </w:pPr>
      <w:r>
        <w:rPr>
          <w:rFonts w:ascii="Arial" w:hAnsi="Arial" w:eastAsia="Arial" w:cs="Arial"/>
          <w:lang w:val="sr-Cyrl-RS"/>
        </w:rPr>
        <w:t>Наису и његовом подручју после тзв. дарданског рата из 75-73 године пре н. е. почела је да се шири Римска власт. Римску војску у овом рату водио је гај Скрибоније Курион. Крајем II века н.е. Ниш је добио статус муниципија, тј. статус који обезбеђује одређена права самосталности и самоуправе са означеном територијом. Средином III века н.е. у околини Ниша заустављено је продирање Гота и тиме омогућен Римски развој овог подручја.</w:t>
      </w:r>
    </w:p>
    <w:p>
      <w:pPr>
        <w:spacing w:line="14" w:lineRule="exact"/>
        <w:rPr>
          <w:rFonts w:ascii="Arial" w:hAnsi="Arial" w:eastAsia="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После победе над Готима, формиране су нове провинције. Подручје данашњег Заплања припало је провинцији Дакије (Дацио Медитеранеа) са Наисус-ом као главним градом. Овом провинцијом води и главни пут између истока и запада којом пролазе војске (Виа Милитарис - војни пут), али се њоме одвија жива трговина и саобраћај. Виа Милитарис пролази поред територије Заплања.</w:t>
      </w:r>
    </w:p>
    <w:p>
      <w:pPr>
        <w:spacing w:line="20" w:lineRule="exact"/>
        <w:rPr>
          <w:rFonts w:ascii="Arial" w:hAnsi="Arial" w:eastAsia="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На основу археолошког материјала са подручја Заплања (који је доста оскудан) и на основу остатка непокретних објеката може се закључити да су одређена места у Заплању насељена у Римском периоду (Копривница, Марина Кутина, Калетинац, Драговље, Велики Крчимир и др.). Такође постоје претпоставке да је долином Кутинске реке пролазио један римски пут Виминациум - Сердица и водио за Пауталиу (данашњи Ћустендил).</w:t>
      </w:r>
    </w:p>
    <w:p>
      <w:pPr>
        <w:spacing w:line="16" w:lineRule="exact"/>
        <w:rPr>
          <w:rFonts w:ascii="Arial" w:hAnsi="Arial" w:eastAsia="Arial" w:cs="Arial"/>
          <w:lang w:val="sr-Cyrl-RS"/>
        </w:rPr>
      </w:pPr>
    </w:p>
    <w:p>
      <w:pPr>
        <w:numPr>
          <w:ilvl w:val="0"/>
          <w:numId w:val="13"/>
        </w:numPr>
        <w:tabs>
          <w:tab w:val="left" w:pos="255"/>
        </w:tabs>
        <w:spacing w:line="288" w:lineRule="auto"/>
        <w:ind w:right="20" w:firstLine="1"/>
        <w:jc w:val="both"/>
        <w:rPr>
          <w:rFonts w:ascii="Arial" w:hAnsi="Arial" w:eastAsia="Arial" w:cs="Arial"/>
          <w:lang w:val="sr-Cyrl-RS"/>
        </w:rPr>
      </w:pPr>
      <w:r>
        <w:rPr>
          <w:rFonts w:ascii="Arial" w:hAnsi="Arial" w:eastAsia="Arial" w:cs="Arial"/>
          <w:lang w:val="sr-Cyrl-RS"/>
        </w:rPr>
        <w:t>селу Овсињинац пронађена је надгробна плоча од кречњака сиве боје која управо потиче из античког периода. Надгробна плоча откривена је на брежуљку где су биле видљиве зидине неке римске грађевине. Плоча је сада у лапидаријуму музеја у Нишу. Овај споменик потиче вероватно из друге половине III века. На споменику се спомиње Аурелиус Тато. Он је староседелац, вероватно Илир који је римско грађанско право добио после 212 године.</w:t>
      </w:r>
    </w:p>
    <w:p>
      <w:pPr>
        <w:spacing w:line="1" w:lineRule="exact"/>
        <w:rPr>
          <w:rFonts w:ascii="Arial" w:hAnsi="Arial" w:eastAsia="Arial" w:cs="Arial"/>
          <w:lang w:val="sr-Cyrl-RS"/>
        </w:rPr>
      </w:pPr>
    </w:p>
    <w:p>
      <w:pPr>
        <w:numPr>
          <w:ilvl w:val="0"/>
          <w:numId w:val="13"/>
        </w:numPr>
        <w:tabs>
          <w:tab w:val="left" w:pos="294"/>
        </w:tabs>
        <w:spacing w:line="271" w:lineRule="auto"/>
        <w:ind w:right="20" w:firstLine="1"/>
        <w:jc w:val="both"/>
        <w:rPr>
          <w:rFonts w:ascii="Arial" w:hAnsi="Arial" w:eastAsia="Arial" w:cs="Arial"/>
          <w:lang w:val="sr-Cyrl-RS"/>
        </w:rPr>
      </w:pPr>
      <w:r>
        <w:rPr>
          <w:rFonts w:ascii="Arial" w:hAnsi="Arial" w:eastAsia="Arial" w:cs="Arial"/>
          <w:lang w:val="sr-Cyrl-RS"/>
        </w:rPr>
        <w:t>селу Копривница пронађен је жртвеник (Вотина ара) такође из античког периода од кречњака, висине 0.50 м, ширине 0.44 м без профилације и украса, грубо обрађен. На бочним странама има пластично представљене животињске</w:t>
      </w:r>
    </w:p>
    <w:p>
      <w:pPr>
        <w:spacing w:line="200" w:lineRule="exact"/>
        <w:rPr>
          <w:rFonts w:ascii="Arial" w:hAnsi="Arial" w:cs="Arial"/>
          <w:lang w:val="sr-Cyrl-RS"/>
        </w:rPr>
      </w:pPr>
    </w:p>
    <w:p>
      <w:pPr>
        <w:spacing w:line="200" w:lineRule="exact"/>
        <w:rPr>
          <w:rFonts w:ascii="Arial" w:hAnsi="Arial" w:cs="Arial"/>
          <w:lang w:val="sr-Cyrl-RS"/>
        </w:rPr>
      </w:pPr>
    </w:p>
    <w:p>
      <w:pPr>
        <w:spacing w:line="205" w:lineRule="exact"/>
        <w:rPr>
          <w:rFonts w:ascii="Arial" w:hAnsi="Arial" w:cs="Arial"/>
          <w:lang w:val="sr-Cyrl-RS"/>
        </w:rPr>
      </w:pPr>
    </w:p>
    <w:p>
      <w:pPr>
        <w:spacing w:line="0" w:lineRule="atLeast"/>
        <w:ind w:left="8780"/>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00" w:lineRule="exact"/>
        <w:rPr>
          <w:rFonts w:ascii="Arial" w:hAnsi="Arial" w:cs="Arial"/>
          <w:lang w:val="sr-Cyrl-RS"/>
        </w:rPr>
      </w:pPr>
      <w:bookmarkStart w:id="43" w:name="page12"/>
      <w:bookmarkEnd w:id="43"/>
    </w:p>
    <w:p>
      <w:pPr>
        <w:spacing w:line="313" w:lineRule="exact"/>
        <w:rPr>
          <w:rFonts w:ascii="Arial" w:hAnsi="Arial" w:cs="Arial"/>
          <w:lang w:val="sr-Cyrl-RS"/>
        </w:rPr>
      </w:pPr>
    </w:p>
    <w:p>
      <w:pPr>
        <w:spacing w:line="264" w:lineRule="auto"/>
        <w:ind w:right="20"/>
        <w:jc w:val="both"/>
        <w:rPr>
          <w:rFonts w:ascii="Arial" w:hAnsi="Arial" w:eastAsia="Arial" w:cs="Arial"/>
          <w:lang w:val="sr-Cyrl-RS"/>
        </w:rPr>
      </w:pPr>
      <w:r>
        <w:rPr>
          <w:rFonts w:ascii="Arial" w:hAnsi="Arial" w:eastAsia="Arial" w:cs="Arial"/>
          <w:lang w:val="sr-Cyrl-RS"/>
        </w:rPr>
        <w:t>главе, лево воловску, а десно овнујску главу. То су симболи жртви које се обично приносе врховном римском богу Јупитеру.</w:t>
      </w:r>
    </w:p>
    <w:p>
      <w:pPr>
        <w:spacing w:line="28" w:lineRule="exact"/>
        <w:rPr>
          <w:rFonts w:ascii="Arial" w:hAnsi="Arial" w:cs="Arial"/>
          <w:lang w:val="sr-Cyrl-RS"/>
        </w:rPr>
      </w:pPr>
    </w:p>
    <w:p>
      <w:pPr>
        <w:spacing w:line="271" w:lineRule="auto"/>
        <w:ind w:right="20"/>
        <w:jc w:val="both"/>
        <w:rPr>
          <w:rFonts w:ascii="Arial" w:hAnsi="Arial" w:eastAsia="Arial" w:cs="Arial"/>
          <w:lang w:val="sr-Cyrl-RS"/>
        </w:rPr>
      </w:pPr>
      <w:r>
        <w:rPr>
          <w:rFonts w:ascii="Arial" w:hAnsi="Arial" w:eastAsia="Arial" w:cs="Arial"/>
          <w:lang w:val="sr-Cyrl-RS"/>
        </w:rPr>
        <w:t>Споменик је откривен 1922. године у Копривници, у једној од двеју грађевина са апсидом које су откопане на сеоском гробљу. Овај жртвеник се налази у Епиграфској збирци Народног музеја у Нишу.</w:t>
      </w:r>
    </w:p>
    <w:p>
      <w:pPr>
        <w:spacing w:line="16" w:lineRule="exact"/>
        <w:rPr>
          <w:rFonts w:ascii="Arial" w:hAnsi="Arial" w:cs="Arial"/>
          <w:lang w:val="sr-Cyrl-RS"/>
        </w:rPr>
      </w:pPr>
    </w:p>
    <w:p>
      <w:pPr>
        <w:spacing w:line="268" w:lineRule="auto"/>
        <w:ind w:right="20"/>
        <w:jc w:val="both"/>
        <w:rPr>
          <w:rFonts w:ascii="Arial" w:hAnsi="Arial" w:eastAsia="Arial" w:cs="Arial"/>
          <w:lang w:val="sr-Cyrl-RS"/>
        </w:rPr>
      </w:pPr>
      <w:r>
        <w:rPr>
          <w:rFonts w:ascii="Arial" w:hAnsi="Arial" w:eastAsia="Arial" w:cs="Arial"/>
          <w:lang w:val="sr-Cyrl-RS"/>
        </w:rPr>
        <w:t>Споменик је подигао Ателиус Маринус који је досељеник у овој области. Ателиус је нецарско име које је веома ретко у Горњој Мезији.</w:t>
      </w:r>
    </w:p>
    <w:p>
      <w:pPr>
        <w:spacing w:line="19" w:lineRule="exact"/>
        <w:rPr>
          <w:rFonts w:ascii="Arial" w:hAnsi="Arial" w:cs="Arial"/>
          <w:lang w:val="sr-Cyrl-RS"/>
        </w:rPr>
      </w:pPr>
    </w:p>
    <w:p>
      <w:pPr>
        <w:numPr>
          <w:ilvl w:val="0"/>
          <w:numId w:val="14"/>
        </w:numPr>
        <w:tabs>
          <w:tab w:val="left" w:pos="255"/>
        </w:tabs>
        <w:spacing w:line="273" w:lineRule="auto"/>
        <w:ind w:right="20" w:firstLine="1"/>
        <w:jc w:val="both"/>
        <w:rPr>
          <w:rFonts w:ascii="Arial" w:hAnsi="Arial" w:eastAsia="Arial" w:cs="Arial"/>
          <w:lang w:val="sr-Cyrl-RS"/>
        </w:rPr>
      </w:pPr>
      <w:r>
        <w:rPr>
          <w:rFonts w:ascii="Arial" w:hAnsi="Arial" w:eastAsia="Arial" w:cs="Arial"/>
          <w:lang w:val="sr-Cyrl-RS"/>
        </w:rPr>
        <w:t>селу Тасковићи пронађена је бронзана статуета ратника и бронзана статуа Јупитера. Бронзана статуета ратника висине је 7cm и налази се у Античкој збирци Народног музеја у Нишу. Статуету представља брадати мушкарац, у оклопу, са високом капом на глави.</w:t>
      </w:r>
    </w:p>
    <w:p>
      <w:pPr>
        <w:spacing w:line="14" w:lineRule="exact"/>
        <w:rPr>
          <w:rFonts w:ascii="Arial" w:hAnsi="Arial" w:eastAsia="Arial" w:cs="Arial"/>
          <w:lang w:val="sr-Cyrl-RS"/>
        </w:rPr>
      </w:pPr>
    </w:p>
    <w:p>
      <w:pPr>
        <w:spacing w:line="268" w:lineRule="auto"/>
        <w:ind w:right="20"/>
        <w:rPr>
          <w:rFonts w:ascii="Arial" w:hAnsi="Arial" w:eastAsia="Arial" w:cs="Arial"/>
          <w:lang w:val="sr-Cyrl-RS"/>
        </w:rPr>
      </w:pPr>
      <w:r>
        <w:rPr>
          <w:rFonts w:ascii="Arial" w:hAnsi="Arial" w:eastAsia="Arial" w:cs="Arial"/>
          <w:lang w:val="sr-Cyrl-RS"/>
        </w:rPr>
        <w:t>Остаци римске тврђаве се налазе изнад села Ћелије, за коју се претпоставља да је била повезана подземним тунелима све до села Миљковац.</w:t>
      </w:r>
    </w:p>
    <w:p>
      <w:pPr>
        <w:spacing w:line="18" w:lineRule="exact"/>
        <w:rPr>
          <w:rFonts w:ascii="Arial" w:hAnsi="Arial" w:eastAsia="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На територији Заплања постоји још локалитета и то: Гаџин Хан, Горње Драговље, Гркиња, Горњи Барбеш, у оклолини манастира Св. Никола у селу Миљковац, Марина Кутина итд. На овим локалитетима откривени су остаци римских грађевина, кастела, опере римског формата, остаци скаларног објекта - базилике и итд.</w:t>
      </w:r>
    </w:p>
    <w:p>
      <w:pPr>
        <w:spacing w:line="20" w:lineRule="exact"/>
        <w:rPr>
          <w:rFonts w:ascii="Arial" w:hAnsi="Arial" w:eastAsia="Arial" w:cs="Arial"/>
          <w:lang w:val="sr-Cyrl-RS"/>
        </w:rPr>
      </w:pPr>
    </w:p>
    <w:p>
      <w:pPr>
        <w:numPr>
          <w:ilvl w:val="0"/>
          <w:numId w:val="14"/>
        </w:numPr>
        <w:tabs>
          <w:tab w:val="left" w:pos="244"/>
        </w:tabs>
        <w:spacing w:line="274" w:lineRule="auto"/>
        <w:ind w:firstLine="1"/>
        <w:jc w:val="both"/>
        <w:rPr>
          <w:rFonts w:ascii="Arial" w:hAnsi="Arial" w:eastAsia="Arial" w:cs="Arial"/>
          <w:lang w:val="sr-Cyrl-RS"/>
        </w:rPr>
      </w:pPr>
      <w:r>
        <w:rPr>
          <w:rFonts w:ascii="Arial" w:hAnsi="Arial" w:eastAsia="Arial" w:cs="Arial"/>
          <w:lang w:val="sr-Cyrl-RS"/>
        </w:rPr>
        <w:t>средњовековном периоду значајан моменат за насеобински развој Заплања био је измештање Виа Милитариса, чија је првобитна средњовековна траса од Ниша водила долином Кутинске реке – кроз данашња насеља Прва Кутина, Лазарево Село, Тасковићи и Гаџин Хан, Суву планину је прелазила преко Змијине ливаде и развођем Црвене и Јелашничке реке ишла ка Белој Паланци (Зиројевић О., 1970). Цариградски друм је водио овом трасом до краја XV или почетка XVI века, од када је у употреби био друм долином Јелашничке реке Гаџин Хан се у писаним документима не помиње до ослобођења од Турака (1878), али је евидентно да је насеље постојало у време турске окупације, под називом Кутина, с тим што је немогуће прецизније утврдити време његовог оснивања.</w:t>
      </w:r>
    </w:p>
    <w:p>
      <w:pPr>
        <w:spacing w:line="25" w:lineRule="exact"/>
        <w:rPr>
          <w:rFonts w:ascii="Arial" w:hAnsi="Arial" w:eastAsia="Arial" w:cs="Arial"/>
          <w:lang w:val="sr-Cyrl-RS"/>
        </w:rPr>
      </w:pPr>
    </w:p>
    <w:p>
      <w:pPr>
        <w:spacing w:line="272" w:lineRule="auto"/>
        <w:jc w:val="both"/>
        <w:rPr>
          <w:rFonts w:ascii="Arial" w:hAnsi="Arial" w:eastAsia="Arial" w:cs="Arial"/>
          <w:lang w:val="sr-Cyrl-RS"/>
        </w:rPr>
      </w:pPr>
      <w:r>
        <w:rPr>
          <w:rFonts w:ascii="Arial" w:hAnsi="Arial" w:eastAsia="Arial" w:cs="Arial"/>
          <w:lang w:val="sr-Cyrl-RS"/>
        </w:rPr>
        <w:t>Интензиван свеукупни развој Кутине након ослобођења од Турака утицао је на њено прерастање у гравитациони центар Заплања. Овај период окарактерисан је порастом функционалног капацитета – развијају се административно-управна, занатска, трговинска, саобраћајна и културно-просветна функција.</w:t>
      </w:r>
    </w:p>
    <w:p>
      <w:pPr>
        <w:spacing w:line="19" w:lineRule="exact"/>
        <w:rPr>
          <w:rFonts w:ascii="Arial" w:hAnsi="Arial" w:eastAsia="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После Другог светског рата присутне су демографске (повећање популационе величине насеља, промена демографских структура и др.), физиономске (територијално ширење насеља, промена намена површина и др.) и функционалне промене (пораст функционалног капацитета, убрзан развој старих и појава нових функција и др.).</w:t>
      </w:r>
    </w:p>
    <w:p>
      <w:pPr>
        <w:spacing w:line="15" w:lineRule="exact"/>
        <w:rPr>
          <w:rFonts w:ascii="Arial" w:hAnsi="Arial" w:eastAsia="Arial" w:cs="Arial"/>
          <w:lang w:val="sr-Cyrl-RS"/>
        </w:rPr>
      </w:pPr>
    </w:p>
    <w:p>
      <w:pPr>
        <w:spacing w:line="271" w:lineRule="auto"/>
        <w:ind w:right="20"/>
        <w:jc w:val="both"/>
        <w:rPr>
          <w:rFonts w:ascii="Arial" w:hAnsi="Arial" w:eastAsia="Arial" w:cs="Arial"/>
          <w:lang w:val="sr-Cyrl-RS"/>
        </w:rPr>
      </w:pPr>
      <w:r>
        <w:rPr>
          <w:rFonts w:ascii="Arial" w:hAnsi="Arial" w:eastAsia="Arial" w:cs="Arial"/>
          <w:lang w:val="sr-Cyrl-RS"/>
        </w:rPr>
        <w:t>Прерастање Гаџиног Хана у гравитациони центар Заплања имао је за последицу, између осталог, досељавање становништва, током савременог периода, већином из сеоских насеља Заплања.</w:t>
      </w:r>
    </w:p>
    <w:p>
      <w:pPr>
        <w:spacing w:line="15" w:lineRule="exact"/>
        <w:rPr>
          <w:rFonts w:ascii="Arial" w:hAnsi="Arial" w:eastAsia="Arial" w:cs="Arial"/>
          <w:lang w:val="sr-Cyrl-RS"/>
        </w:rPr>
      </w:pPr>
    </w:p>
    <w:p>
      <w:pPr>
        <w:spacing w:line="268" w:lineRule="auto"/>
        <w:rPr>
          <w:rFonts w:ascii="Arial" w:hAnsi="Arial" w:eastAsia="Arial" w:cs="Arial"/>
          <w:lang w:val="sr-Cyrl-RS"/>
        </w:rPr>
      </w:pPr>
      <w:r>
        <w:rPr>
          <w:rFonts w:ascii="Arial" w:hAnsi="Arial" w:eastAsia="Arial" w:cs="Arial"/>
          <w:lang w:val="sr-Cyrl-RS"/>
        </w:rPr>
        <w:t>Данас је општина Гаџин Хан суочена са депопулацијом становништва (погледати поглавље 3.6.2).</w:t>
      </w:r>
    </w:p>
    <w:p>
      <w:pPr>
        <w:spacing w:line="368" w:lineRule="exact"/>
        <w:rPr>
          <w:rFonts w:ascii="Arial" w:hAnsi="Arial" w:cs="Arial"/>
          <w:lang w:val="sr-Cyrl-RS"/>
        </w:rPr>
      </w:pPr>
    </w:p>
    <w:p>
      <w:pPr>
        <w:spacing w:line="0" w:lineRule="atLeast"/>
        <w:ind w:left="8780"/>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00" w:lineRule="exact"/>
        <w:rPr>
          <w:rFonts w:ascii="Arial" w:hAnsi="Arial" w:cs="Arial"/>
          <w:lang w:val="sr-Cyrl-RS"/>
        </w:rPr>
      </w:pPr>
      <w:bookmarkStart w:id="44" w:name="page13"/>
      <w:bookmarkEnd w:id="44"/>
    </w:p>
    <w:p>
      <w:pPr>
        <w:spacing w:line="313" w:lineRule="exact"/>
        <w:rPr>
          <w:rFonts w:ascii="Arial" w:hAnsi="Arial" w:cs="Arial"/>
          <w:lang w:val="sr-Cyrl-RS"/>
        </w:rPr>
      </w:pPr>
    </w:p>
    <w:p>
      <w:pPr>
        <w:spacing w:line="271" w:lineRule="auto"/>
        <w:jc w:val="both"/>
        <w:rPr>
          <w:rFonts w:ascii="Arial" w:hAnsi="Arial" w:eastAsia="Arial" w:cs="Arial"/>
          <w:lang w:val="sr-Cyrl-RS"/>
        </w:rPr>
      </w:pPr>
      <w:r>
        <w:rPr>
          <w:rFonts w:ascii="Arial" w:hAnsi="Arial" w:eastAsia="Arial" w:cs="Arial"/>
          <w:lang w:val="sr-Cyrl-RS"/>
        </w:rPr>
        <w:t>Културно наслеђе општине Гаџин Хан данас чине цркве, воденице, али и манифестације посвећене песнику Бранку Миљковићу, као и оне посвећене традицији овог краја, стари занати и друго.</w:t>
      </w:r>
    </w:p>
    <w:p>
      <w:pPr>
        <w:spacing w:line="325" w:lineRule="exact"/>
        <w:rPr>
          <w:rFonts w:ascii="Arial" w:hAnsi="Arial" w:cs="Arial"/>
          <w:lang w:val="sr-Cyrl-RS"/>
        </w:rPr>
      </w:pPr>
    </w:p>
    <w:p>
      <w:pPr>
        <w:pStyle w:val="4"/>
        <w:rPr>
          <w:rFonts w:ascii="Arial" w:hAnsi="Arial" w:eastAsia="Arial" w:cs="Arial"/>
          <w:szCs w:val="24"/>
          <w:lang w:val="sr-Cyrl-RS"/>
        </w:rPr>
      </w:pPr>
      <w:bookmarkStart w:id="45" w:name="_Toc144818238"/>
      <w:bookmarkStart w:id="46" w:name="_Toc159226519"/>
      <w:r>
        <w:rPr>
          <w:rFonts w:ascii="Arial" w:hAnsi="Arial" w:eastAsia="Arial" w:cs="Arial"/>
          <w:szCs w:val="24"/>
          <w:lang w:val="sr-Cyrl-RS"/>
        </w:rPr>
        <w:t>Црква Вазнесења - Велики Крчимир</w:t>
      </w:r>
      <w:bookmarkEnd w:id="45"/>
      <w:bookmarkEnd w:id="46"/>
    </w:p>
    <w:p>
      <w:pPr>
        <w:spacing w:line="370" w:lineRule="exact"/>
        <w:rPr>
          <w:rFonts w:ascii="Arial" w:hAnsi="Arial" w:cs="Arial"/>
          <w:lang w:val="sr-Cyrl-RS"/>
        </w:rPr>
      </w:pPr>
    </w:p>
    <w:p>
      <w:pPr>
        <w:numPr>
          <w:ilvl w:val="0"/>
          <w:numId w:val="15"/>
        </w:numPr>
        <w:tabs>
          <w:tab w:val="left" w:pos="255"/>
        </w:tabs>
        <w:spacing w:line="275" w:lineRule="auto"/>
        <w:ind w:firstLine="1"/>
        <w:jc w:val="both"/>
        <w:rPr>
          <w:rFonts w:ascii="Arial" w:hAnsi="Arial" w:eastAsia="Arial" w:cs="Arial"/>
          <w:lang w:val="sr-Cyrl-RS"/>
        </w:rPr>
      </w:pPr>
      <w:r>
        <w:rPr>
          <w:rFonts w:ascii="Arial" w:hAnsi="Arial" w:eastAsia="Arial" w:cs="Arial"/>
          <w:lang w:val="sr-Cyrl-RS"/>
        </w:rPr>
        <w:t>области Горњег Заплања, у Великом Крчимиру, уз високу куполну цркву из 1937. године стоји старија скромна богомоља посвећена Христовом Вазнесењу. Једнобродна грађевина са полукружном апсидом и карактеристичним, благо истуреним луковима на попречним фасадама, зидана је крупним квадерима сиге у кречном малтеру и покривена двосливним кровом. Фрагменти живописа из 1629. сачувани су у источном делу цркве. Мада је тешко установити првобитни програм, на основу префињеног и сигурног цртежа, хармоничних композиција и сведеног колорита, може се рећи да га је извео даровити сликар. Други зограф скромнијег талента осликао је западну фасаду. Накнадним интервенцијама 1838. и 1899. президан је трем, отворена јужна врата и проширени прозори, а нови иконостас померен ка западу.</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61312" behindDoc="1" locked="0" layoutInCell="1" allowOverlap="1">
            <wp:simplePos x="0" y="0"/>
            <wp:positionH relativeFrom="column">
              <wp:posOffset>0</wp:posOffset>
            </wp:positionH>
            <wp:positionV relativeFrom="paragraph">
              <wp:posOffset>203835</wp:posOffset>
            </wp:positionV>
            <wp:extent cx="5457190" cy="1930400"/>
            <wp:effectExtent l="0" t="0" r="0" b="0"/>
            <wp:wrapNone/>
            <wp:docPr id="531" name="Picture 140" descr="A stone building with a pain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531" name="Picture 140" descr="A stone building with a painting on it&#10;&#10;Description automatically generated"/>
                    <pic:cNvPicPr/>
                  </pic:nvPicPr>
                  <pic:blipFill>
                    <a:blip r:embed="rId16" cstate="email"/>
                    <a:srcRect/>
                    <a:stretch>
                      <a:fillRect/>
                    </a:stretch>
                  </pic:blipFill>
                  <pic:spPr>
                    <a:xfrm>
                      <a:off x="0" y="0"/>
                      <a:ext cx="5457190" cy="1930400"/>
                    </a:xfrm>
                    <a:prstGeom prst="rect">
                      <a:avLst/>
                    </a:prstGeom>
                    <a:noFill/>
                    <a:ln>
                      <a:noFill/>
                    </a:ln>
                  </pic:spPr>
                </pic:pic>
              </a:graphicData>
            </a:graphic>
          </wp:anchor>
        </w:drawing>
      </w:r>
    </w:p>
    <w:p>
      <w:pPr>
        <w:spacing w:line="0" w:lineRule="atLeast"/>
        <w:rPr>
          <w:rFonts w:ascii="Arial" w:hAnsi="Arial" w:eastAsia="Arial" w:cs="Arial"/>
          <w:i/>
          <w:lang w:val="sr-Cyrl-RS"/>
        </w:rPr>
      </w:pPr>
      <w:r>
        <w:rPr>
          <w:rFonts w:ascii="Arial" w:hAnsi="Arial" w:eastAsia="Arial" w:cs="Arial"/>
          <w:i/>
          <w:lang w:val="sr-Cyrl-RS"/>
        </w:rPr>
        <w:t>Слика 6. Црква Вазнесења - Велики Крчимир</w:t>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381" w:lineRule="exact"/>
        <w:rPr>
          <w:rFonts w:ascii="Arial" w:hAnsi="Arial" w:cs="Arial"/>
          <w:lang w:val="sr-Cyrl-RS"/>
        </w:rPr>
      </w:pPr>
    </w:p>
    <w:p>
      <w:pPr>
        <w:spacing w:line="0" w:lineRule="atLeast"/>
        <w:rPr>
          <w:rFonts w:ascii="Arial" w:hAnsi="Arial" w:eastAsia="Arial" w:cs="Arial"/>
          <w:i/>
          <w:lang w:val="sr-Cyrl-RS"/>
        </w:rPr>
      </w:pPr>
      <w:r>
        <w:rPr>
          <w:rFonts w:ascii="Arial" w:hAnsi="Arial" w:eastAsia="Arial" w:cs="Arial"/>
          <w:i/>
          <w:lang w:val="sr-Cyrl-RS"/>
        </w:rPr>
        <w:t>Извор: ТО Гаџин Хан</w:t>
      </w:r>
    </w:p>
    <w:p>
      <w:pPr>
        <w:spacing w:line="372" w:lineRule="exact"/>
        <w:rPr>
          <w:rFonts w:ascii="Arial" w:hAnsi="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Поред цркве Св. Вазнесеља у Великом Крчимиру која се налази на листи непокретних културних добара Републике Србије као непокретно културно добро од великог значаја, на листи непокретних културних добара Републике Србије налазе се и црква Св. Николе у Доњем Драговљу, цркве Успења свете Богородице у Гркињи, као и црква Св.Илије у Јагличију.</w:t>
      </w:r>
    </w:p>
    <w:p>
      <w:pPr>
        <w:spacing w:line="325" w:lineRule="exact"/>
        <w:rPr>
          <w:rFonts w:ascii="Arial" w:hAnsi="Arial" w:cs="Arial"/>
          <w:lang w:val="sr-Cyrl-RS"/>
        </w:rPr>
      </w:pPr>
    </w:p>
    <w:p>
      <w:pPr>
        <w:pStyle w:val="4"/>
        <w:rPr>
          <w:rFonts w:ascii="Arial" w:hAnsi="Arial" w:eastAsia="Arial" w:cs="Arial"/>
          <w:szCs w:val="24"/>
          <w:lang w:val="sr-Cyrl-RS"/>
        </w:rPr>
      </w:pPr>
      <w:bookmarkStart w:id="47" w:name="_Toc144818239"/>
      <w:bookmarkStart w:id="48" w:name="_Toc159226520"/>
      <w:r>
        <w:rPr>
          <w:rFonts w:ascii="Arial" w:hAnsi="Arial" w:eastAsia="Arial" w:cs="Arial"/>
          <w:szCs w:val="24"/>
          <w:lang w:val="sr-Cyrl-RS"/>
        </w:rPr>
        <w:t>Народна библиотека „Бранко Миљковић“, Гаџин Хан</w:t>
      </w:r>
      <w:bookmarkEnd w:id="47"/>
      <w:bookmarkEnd w:id="48"/>
    </w:p>
    <w:p>
      <w:pPr>
        <w:spacing w:line="210" w:lineRule="exact"/>
        <w:rPr>
          <w:rFonts w:ascii="Arial" w:hAnsi="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Формирана је спајањем Општинске библиотеке „Бранко Миљковић“ и Дома културе „Бранко Миљковић“. Осим активности у области културе, примарна делатност Народне библиотеке је библиотечка. Располаже књижним фондом од преко 25.000 књига, а њени корисници углавном су ученици основне и средњих школа, као и велики број младих.</w:t>
      </w:r>
    </w:p>
    <w:p>
      <w:pPr>
        <w:spacing w:line="200" w:lineRule="exact"/>
        <w:rPr>
          <w:rFonts w:ascii="Arial" w:hAnsi="Arial" w:cs="Arial"/>
          <w:lang w:val="sr-Cyrl-RS"/>
        </w:rPr>
      </w:pPr>
    </w:p>
    <w:p>
      <w:pPr>
        <w:spacing w:line="0" w:lineRule="atLeast"/>
        <w:ind w:left="8780"/>
        <w:rPr>
          <w:rFonts w:ascii="Arial" w:hAnsi="Arial" w:cs="Arial"/>
          <w:lang w:val="sr-Cyrl-RS"/>
        </w:rPr>
        <w:sectPr>
          <w:pgSz w:w="11900" w:h="16840"/>
          <w:pgMar w:top="707" w:right="1425" w:bottom="551" w:left="1440" w:header="0" w:footer="0" w:gutter="0"/>
          <w:cols w:equalWidth="0" w:num="1">
            <w:col w:w="9040"/>
          </w:cols>
          <w:docGrid w:linePitch="360" w:charSpace="0"/>
        </w:sectPr>
      </w:pPr>
    </w:p>
    <w:p>
      <w:pPr>
        <w:spacing w:line="200" w:lineRule="exact"/>
        <w:rPr>
          <w:rFonts w:ascii="Arial" w:hAnsi="Arial" w:cs="Arial"/>
          <w:lang w:val="sr-Cyrl-RS"/>
        </w:rPr>
      </w:pPr>
      <w:bookmarkStart w:id="49" w:name="page14"/>
      <w:bookmarkEnd w:id="49"/>
    </w:p>
    <w:p>
      <w:pPr>
        <w:spacing w:line="313" w:lineRule="exact"/>
        <w:rPr>
          <w:rFonts w:ascii="Arial" w:hAnsi="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Народна библиотека у сарадњи са Општином и месним заједницама, организује већи број културних манифестација. Међу најзначајније спадају „Миљковићеве поетске свечаности“, „Југословенска колонија ликовних аматера – 17 воденица“, „Заплањски дани“ у Доњем Душнику, „Јужноморавски дани црног лука“ у Топоници.</w:t>
      </w:r>
    </w:p>
    <w:p>
      <w:pPr>
        <w:spacing w:line="176" w:lineRule="exact"/>
        <w:rPr>
          <w:rFonts w:ascii="Arial" w:hAnsi="Arial" w:cs="Arial"/>
          <w:lang w:val="sr-Cyrl-RS"/>
        </w:rPr>
      </w:pPr>
    </w:p>
    <w:p>
      <w:pPr>
        <w:spacing w:line="288" w:lineRule="auto"/>
        <w:jc w:val="both"/>
        <w:rPr>
          <w:rFonts w:ascii="Arial" w:hAnsi="Arial" w:eastAsia="Arial" w:cs="Arial"/>
          <w:lang w:val="sr-Cyrl-RS"/>
        </w:rPr>
      </w:pPr>
      <w:r>
        <w:rPr>
          <w:rFonts w:ascii="Arial" w:hAnsi="Arial" w:eastAsia="Arial" w:cs="Arial"/>
          <w:lang w:val="sr-Cyrl-RS"/>
        </w:rPr>
        <w:t>Народна библиотека располаже функционалном салом капацитета до 400 места која пружа адекватне услове за одржавање концерата, позоришних представа мањег обима, мађионичарских представа, јавних скупова, као и биоскопских представа, с обзиром да поседује професионалну биоскопску апаратуру и платно. У склопу објекта, поседује и кафе бар, који је погодан за припрему освежења у току одржавања наведених догађаја. (Извор : Општина Гаџин Хан)</w:t>
      </w:r>
    </w:p>
    <w:p>
      <w:pPr>
        <w:spacing w:line="288" w:lineRule="auto"/>
        <w:jc w:val="both"/>
        <w:rPr>
          <w:rFonts w:ascii="Arial" w:hAnsi="Arial" w:eastAsia="Arial" w:cs="Arial"/>
          <w:lang w:val="sr-Cyrl-RS"/>
        </w:rPr>
      </w:pPr>
      <w:r>
        <w:rPr>
          <w:rFonts w:ascii="Arial" w:hAnsi="Arial" w:eastAsia="Arial" w:cs="Arial"/>
          <w:i/>
          <w:lang w:val="sr-Cyrl-RS"/>
        </w:rPr>
        <w:t>Слика 7. Зграда Народне библиотеке „Бранко Миљковић“ и ТО општине Гаџин Хан са салом за пројекције, представе и др.</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62336" behindDoc="1" locked="0" layoutInCell="1" allowOverlap="1">
            <wp:simplePos x="0" y="0"/>
            <wp:positionH relativeFrom="column">
              <wp:posOffset>217805</wp:posOffset>
            </wp:positionH>
            <wp:positionV relativeFrom="paragraph">
              <wp:posOffset>95885</wp:posOffset>
            </wp:positionV>
            <wp:extent cx="5288280" cy="1847850"/>
            <wp:effectExtent l="0" t="0" r="0" b="0"/>
            <wp:wrapNone/>
            <wp:docPr id="530" name="Picture 139" descr="A building with a walkway and a walkwa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0" name="Picture 139" descr="A building with a walkway and a walkway&#10;&#10;Description automatically generated with medium confidence"/>
                    <pic:cNvPicPr/>
                  </pic:nvPicPr>
                  <pic:blipFill>
                    <a:blip r:embed="rId17" cstate="email"/>
                    <a:srcRect/>
                    <a:stretch>
                      <a:fillRect/>
                    </a:stretch>
                  </pic:blipFill>
                  <pic:spPr>
                    <a:xfrm>
                      <a:off x="0" y="0"/>
                      <a:ext cx="5288280" cy="1847850"/>
                    </a:xfrm>
                    <a:prstGeom prst="rect">
                      <a:avLst/>
                    </a:prstGeom>
                    <a:noFill/>
                    <a:ln>
                      <a:noFill/>
                    </a:ln>
                  </pic:spPr>
                </pic:pic>
              </a:graphicData>
            </a:graphic>
          </wp:anchor>
        </w:drawing>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97" w:lineRule="exact"/>
        <w:rPr>
          <w:rFonts w:ascii="Arial" w:hAnsi="Arial" w:cs="Arial"/>
          <w:lang w:val="sr-Cyrl-RS"/>
        </w:rPr>
      </w:pPr>
    </w:p>
    <w:p>
      <w:pPr>
        <w:spacing w:line="262" w:lineRule="auto"/>
        <w:ind w:right="20"/>
        <w:jc w:val="both"/>
        <w:rPr>
          <w:rFonts w:ascii="Arial" w:hAnsi="Arial" w:eastAsia="Arial" w:cs="Arial"/>
          <w:i/>
          <w:lang w:val="sr-Cyrl-RS"/>
        </w:rPr>
      </w:pPr>
      <w:r>
        <w:rPr>
          <w:rFonts w:ascii="Arial" w:hAnsi="Arial" w:eastAsia="Arial" w:cs="Arial"/>
          <w:i/>
          <w:lang w:val="sr-Cyrl-RS"/>
        </w:rPr>
        <w:t>Извор: ТО Гаџин Хан</w:t>
      </w:r>
    </w:p>
    <w:p>
      <w:pPr>
        <w:spacing w:line="337" w:lineRule="exact"/>
        <w:rPr>
          <w:rFonts w:ascii="Arial" w:hAnsi="Arial" w:cs="Arial"/>
          <w:lang w:val="sr-Cyrl-RS"/>
        </w:rPr>
      </w:pPr>
    </w:p>
    <w:p>
      <w:pPr>
        <w:pStyle w:val="4"/>
        <w:rPr>
          <w:rFonts w:ascii="Arial" w:hAnsi="Arial" w:eastAsia="Arial" w:cs="Arial"/>
          <w:szCs w:val="24"/>
          <w:lang w:val="sr-Cyrl-RS"/>
        </w:rPr>
      </w:pPr>
      <w:bookmarkStart w:id="50" w:name="_Toc144818240"/>
      <w:bookmarkStart w:id="51" w:name="_Toc159226521"/>
      <w:r>
        <w:rPr>
          <w:rFonts w:ascii="Arial" w:hAnsi="Arial" w:eastAsia="Arial" w:cs="Arial"/>
          <w:szCs w:val="24"/>
          <w:lang w:val="sr-Cyrl-RS"/>
        </w:rPr>
        <w:t>Заплањске воденице поточаре</w:t>
      </w:r>
      <w:bookmarkEnd w:id="50"/>
      <w:bookmarkEnd w:id="51"/>
    </w:p>
    <w:p>
      <w:pPr>
        <w:spacing w:line="50" w:lineRule="exact"/>
        <w:rPr>
          <w:rFonts w:ascii="Arial" w:hAnsi="Arial" w:cs="Arial"/>
          <w:lang w:val="sr-Cyrl-RS"/>
        </w:rPr>
      </w:pPr>
    </w:p>
    <w:p>
      <w:pPr>
        <w:spacing w:line="275" w:lineRule="auto"/>
        <w:jc w:val="both"/>
        <w:rPr>
          <w:rFonts w:ascii="Arial" w:hAnsi="Arial" w:eastAsia="Arial" w:cs="Arial"/>
          <w:lang w:val="sr-Cyrl-RS"/>
        </w:rPr>
      </w:pPr>
      <w:r>
        <w:rPr>
          <w:rFonts w:ascii="Arial" w:hAnsi="Arial" w:eastAsia="Arial" w:cs="Arial"/>
          <w:lang w:val="sr-Cyrl-RS"/>
        </w:rPr>
        <w:t>Воденице потичу из 18. века и представљају једну од највећих атракција на територији Општине Гаџин Хан. Налазе се између села Доњи и Горњи Душник. На два до три километра уз заплањску речицу Горњодушничко врело, налази се 17 старих воденица поточара. Већина воденица је стара и преко 300 година. Нажалост прилично су оронуле и зарасле у коров, а само три повремено покрећу точак и мељу кукуруз и пшеницу, као некад давно. Заштита воденица је у току. Постоји могућност обнове девет воденица и стављање у намену туристичке атракције.</w:t>
      </w:r>
    </w:p>
    <w:p>
      <w:pPr>
        <w:spacing w:line="20" w:lineRule="exact"/>
        <w:rPr>
          <w:rFonts w:ascii="Arial" w:hAnsi="Arial" w:cs="Arial"/>
          <w:lang w:val="sr-Cyrl-RS"/>
        </w:rPr>
      </w:pPr>
      <w:r>
        <w:rPr>
          <w:rFonts w:ascii="Arial" w:hAnsi="Arial" w:cs="Arial"/>
          <w:lang w:eastAsia="en-US"/>
        </w:rPr>
        <w:drawing>
          <wp:anchor distT="0" distB="0" distL="114300" distR="114300" simplePos="0" relativeHeight="251663360" behindDoc="1" locked="0" layoutInCell="1" allowOverlap="1">
            <wp:simplePos x="0" y="0"/>
            <wp:positionH relativeFrom="column">
              <wp:posOffset>0</wp:posOffset>
            </wp:positionH>
            <wp:positionV relativeFrom="paragraph">
              <wp:posOffset>201295</wp:posOffset>
            </wp:positionV>
            <wp:extent cx="5705475" cy="1598930"/>
            <wp:effectExtent l="0" t="0" r="0" b="0"/>
            <wp:wrapNone/>
            <wp:docPr id="529" name="Picture 138" descr="A couple of buildings with tre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29" name="Picture 138" descr="A couple of buildings with trees&#10;&#10;Description automatically generated with medium confidence"/>
                    <pic:cNvPicPr/>
                  </pic:nvPicPr>
                  <pic:blipFill>
                    <a:blip r:embed="rId18"/>
                    <a:srcRect/>
                    <a:stretch>
                      <a:fillRect/>
                    </a:stretch>
                  </pic:blipFill>
                  <pic:spPr>
                    <a:xfrm>
                      <a:off x="0" y="0"/>
                      <a:ext cx="5705475" cy="1598930"/>
                    </a:xfrm>
                    <a:prstGeom prst="rect">
                      <a:avLst/>
                    </a:prstGeom>
                    <a:noFill/>
                    <a:ln>
                      <a:noFill/>
                    </a:ln>
                  </pic:spPr>
                </pic:pic>
              </a:graphicData>
            </a:graphic>
          </wp:anchor>
        </w:drawing>
      </w:r>
    </w:p>
    <w:p>
      <w:pPr>
        <w:spacing w:line="0" w:lineRule="atLeast"/>
        <w:rPr>
          <w:rFonts w:ascii="Arial" w:hAnsi="Arial" w:eastAsia="Arial" w:cs="Arial"/>
          <w:i/>
          <w:lang w:val="sr-Cyrl-RS"/>
        </w:rPr>
      </w:pPr>
      <w:r>
        <w:rPr>
          <w:rFonts w:ascii="Arial" w:hAnsi="Arial" w:eastAsia="Arial" w:cs="Arial"/>
          <w:i/>
          <w:lang w:val="sr-Cyrl-RS"/>
        </w:rPr>
        <w:t>Слика 8. Заплањске воденице, ТО Гаџин Хан</w:t>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59" w:lineRule="exact"/>
        <w:rPr>
          <w:rFonts w:ascii="Arial" w:hAnsi="Arial" w:cs="Arial"/>
          <w:lang w:val="sr-Cyrl-RS"/>
        </w:rPr>
      </w:pPr>
    </w:p>
    <w:p>
      <w:pPr>
        <w:spacing w:line="0" w:lineRule="atLeast"/>
        <w:rPr>
          <w:rFonts w:ascii="Arial" w:hAnsi="Arial" w:eastAsia="Arial" w:cs="Arial"/>
          <w:i/>
          <w:lang w:val="sr-Cyrl-RS"/>
        </w:rPr>
      </w:pPr>
      <w:r>
        <w:rPr>
          <w:rFonts w:ascii="Arial" w:hAnsi="Arial" w:eastAsia="Arial" w:cs="Arial"/>
          <w:i/>
          <w:lang w:val="sr-Cyrl-RS"/>
        </w:rPr>
        <w:t>Извор: То Гаџин Хан</w:t>
      </w:r>
    </w:p>
    <w:p>
      <w:pPr>
        <w:spacing w:line="0" w:lineRule="atLeast"/>
        <w:rPr>
          <w:rFonts w:ascii="Arial" w:hAnsi="Arial" w:cs="Arial"/>
          <w:lang w:val="sr-Cyrl-RS"/>
        </w:rPr>
        <w:sectPr>
          <w:pgSz w:w="11900" w:h="16840"/>
          <w:pgMar w:top="707" w:right="1425" w:bottom="551" w:left="1440" w:header="0" w:footer="0" w:gutter="0"/>
          <w:cols w:equalWidth="0" w:num="1">
            <w:col w:w="9040"/>
          </w:cols>
          <w:docGrid w:linePitch="360" w:charSpace="0"/>
        </w:sectPr>
      </w:pPr>
    </w:p>
    <w:p>
      <w:pPr>
        <w:rPr>
          <w:rFonts w:ascii="Arial" w:hAnsi="Arial" w:eastAsia="Arial" w:cs="Arial"/>
          <w:lang w:val="sr-Cyrl-RS" w:eastAsia="en-US"/>
        </w:rPr>
      </w:pPr>
      <w:bookmarkStart w:id="52" w:name="page15"/>
      <w:bookmarkEnd w:id="52"/>
    </w:p>
    <w:p>
      <w:pPr>
        <w:pStyle w:val="3"/>
        <w:rPr>
          <w:rFonts w:eastAsia="Arial"/>
        </w:rPr>
      </w:pPr>
      <w:bookmarkStart w:id="53" w:name="_Toc159226522"/>
      <w:bookmarkStart w:id="54" w:name="_Toc144818243"/>
      <w:r>
        <w:rPr>
          <w:rFonts w:eastAsia="Arial"/>
        </w:rPr>
        <w:t>4.3. Саобраћајна и комунална инфраструктура</w:t>
      </w:r>
      <w:bookmarkEnd w:id="53"/>
      <w:bookmarkEnd w:id="54"/>
    </w:p>
    <w:p>
      <w:pPr>
        <w:spacing w:line="290" w:lineRule="exact"/>
        <w:rPr>
          <w:rFonts w:ascii="Arial" w:hAnsi="Arial" w:cs="Arial"/>
          <w:lang w:val="sr-Cyrl-RS"/>
        </w:rPr>
      </w:pPr>
    </w:p>
    <w:p>
      <w:pPr>
        <w:spacing w:line="289" w:lineRule="auto"/>
        <w:jc w:val="both"/>
        <w:rPr>
          <w:rFonts w:ascii="Arial" w:hAnsi="Arial" w:eastAsia="Arial" w:cs="Arial"/>
          <w:lang w:val="sr-Cyrl-RS"/>
        </w:rPr>
      </w:pPr>
      <w:r>
        <w:rPr>
          <w:rFonts w:ascii="Arial" w:hAnsi="Arial" w:eastAsia="Arial" w:cs="Arial"/>
          <w:lang w:val="sr-Cyrl-RS"/>
        </w:rPr>
        <w:t xml:space="preserve">Међународни пут Е-75/Коридор 10, који делом пролази кроз Србију, спада у значајније Европске путне правце. Он је сврстан у ТЕМ путеве (Trans-European Motorway), који за један од циљева, имају повезивање хладних и топлих мора Европе што даје велики потенцијал за </w:t>
      </w:r>
      <w:r>
        <w:rPr>
          <w:rFonts w:ascii="Arial" w:hAnsi="Arial" w:eastAsia="Arial" w:cs="Arial"/>
          <w:b/>
          <w:lang w:val="sr-Cyrl-RS"/>
        </w:rPr>
        <w:t>транзитни и туризам специјалних интереса</w:t>
      </w:r>
      <w:r>
        <w:rPr>
          <w:rFonts w:ascii="Arial" w:hAnsi="Arial" w:eastAsia="Arial" w:cs="Arial"/>
          <w:lang w:val="sr-Cyrl-RS"/>
        </w:rPr>
        <w:t>.</w:t>
      </w:r>
    </w:p>
    <w:p>
      <w:pPr>
        <w:spacing w:line="20" w:lineRule="exact"/>
        <w:rPr>
          <w:rFonts w:ascii="Arial" w:hAnsi="Arial" w:cs="Arial"/>
          <w:lang w:val="sr-Cyrl-RS"/>
        </w:rPr>
      </w:pPr>
    </w:p>
    <w:p>
      <w:pPr>
        <w:spacing w:line="200" w:lineRule="exact"/>
        <w:rPr>
          <w:rFonts w:ascii="Arial" w:hAnsi="Arial" w:eastAsia="Arial" w:cs="Arial"/>
          <w:i/>
          <w:lang w:val="sr-Cyrl-RS"/>
        </w:rPr>
      </w:pPr>
    </w:p>
    <w:p>
      <w:pPr>
        <w:spacing w:line="200" w:lineRule="exact"/>
        <w:rPr>
          <w:rFonts w:ascii="Arial" w:hAnsi="Arial" w:cs="Arial"/>
          <w:lang w:val="sr-Cyrl-RS"/>
        </w:rPr>
      </w:pPr>
      <w:r>
        <w:rPr>
          <w:rFonts w:ascii="Arial" w:hAnsi="Arial" w:eastAsia="Arial" w:cs="Arial"/>
          <w:i/>
          <w:lang w:val="sr-Cyrl-RS"/>
        </w:rPr>
        <w:t>Слика 9. Коридор 10 и локација Општине Гаџин Хан</w:t>
      </w:r>
    </w:p>
    <w:p>
      <w:pPr>
        <w:spacing w:line="200" w:lineRule="exact"/>
        <w:rPr>
          <w:rFonts w:ascii="Arial" w:hAnsi="Arial" w:cs="Arial"/>
          <w:lang w:val="sr-Cyrl-RS"/>
        </w:rPr>
      </w:pPr>
      <w:r>
        <w:rPr>
          <w:rFonts w:ascii="Arial" w:hAnsi="Arial" w:cs="Arial"/>
          <w:lang w:eastAsia="en-US"/>
        </w:rPr>
        <w:drawing>
          <wp:anchor distT="0" distB="0" distL="114300" distR="114300" simplePos="0" relativeHeight="251665408" behindDoc="1" locked="0" layoutInCell="1" allowOverlap="1">
            <wp:simplePos x="0" y="0"/>
            <wp:positionH relativeFrom="column">
              <wp:posOffset>27305</wp:posOffset>
            </wp:positionH>
            <wp:positionV relativeFrom="paragraph">
              <wp:posOffset>1270</wp:posOffset>
            </wp:positionV>
            <wp:extent cx="5675630" cy="2598420"/>
            <wp:effectExtent l="0" t="0" r="1270" b="5080"/>
            <wp:wrapNone/>
            <wp:docPr id="523" name="Picture 134" descr="A map with a blue arrow and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523" name="Picture 134" descr="A map with a blue arrow and a blue square&#10;&#10;Description automatically generated"/>
                    <pic:cNvPicPr/>
                  </pic:nvPicPr>
                  <pic:blipFill>
                    <a:blip r:embed="rId19" cstate="email"/>
                    <a:srcRect/>
                    <a:stretch>
                      <a:fillRect/>
                    </a:stretch>
                  </pic:blipFill>
                  <pic:spPr>
                    <a:xfrm>
                      <a:off x="0" y="0"/>
                      <a:ext cx="5675630" cy="2598420"/>
                    </a:xfrm>
                    <a:prstGeom prst="rect">
                      <a:avLst/>
                    </a:prstGeom>
                    <a:noFill/>
                    <a:ln>
                      <a:noFill/>
                    </a:ln>
                  </pic:spPr>
                </pic:pic>
              </a:graphicData>
            </a:graphic>
          </wp:anchor>
        </w:drawing>
      </w: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00" w:lineRule="exact"/>
        <w:rPr>
          <w:rFonts w:ascii="Arial" w:hAnsi="Arial" w:cs="Arial"/>
          <w:lang w:val="sr-Cyrl-RS"/>
        </w:rPr>
      </w:pPr>
    </w:p>
    <w:p>
      <w:pPr>
        <w:spacing w:line="237" w:lineRule="exact"/>
        <w:rPr>
          <w:rFonts w:ascii="Arial" w:hAnsi="Arial" w:cs="Arial"/>
          <w:lang w:val="sr-Cyrl-RS"/>
        </w:rPr>
      </w:pPr>
    </w:p>
    <w:p>
      <w:pPr>
        <w:spacing w:line="271" w:lineRule="auto"/>
        <w:ind w:right="260"/>
        <w:rPr>
          <w:rFonts w:ascii="Arial" w:hAnsi="Arial" w:eastAsia="Arial" w:cs="Arial"/>
          <w:i/>
          <w:vertAlign w:val="superscript"/>
          <w:lang w:val="sr-Cyrl-RS"/>
        </w:rPr>
      </w:pPr>
      <w:r>
        <w:rPr>
          <w:rFonts w:ascii="Arial" w:hAnsi="Arial" w:eastAsia="Arial" w:cs="Arial"/>
          <w:i/>
          <w:lang w:val="sr-Cyrl-RS"/>
        </w:rPr>
        <w:t>Иѕвор: Википедија (</w:t>
      </w:r>
      <w:r>
        <w:fldChar w:fldCharType="begin"/>
      </w:r>
      <w:r>
        <w:instrText xml:space="preserve"> HYPERLINK "https://sr.wikipedia.org/sr/Panevropski_koridor_10" \l "/media/Датотека:Pan-European_corridor_X.svg" </w:instrText>
      </w:r>
      <w:r>
        <w:fldChar w:fldCharType="separate"/>
      </w:r>
      <w:r>
        <w:rPr>
          <w:rStyle w:val="17"/>
          <w:rFonts w:ascii="Arial" w:hAnsi="Arial" w:eastAsia="Arial" w:cs="Arial"/>
          <w:i/>
          <w:lang w:val="sr-Cyrl-RS"/>
        </w:rPr>
        <w:t>https://sr.wikipedia.org/sr/Panevropski_koridor_10#/media/Датотека:Pan-European_corridor_X.svg</w:t>
      </w:r>
      <w:r>
        <w:rPr>
          <w:rStyle w:val="17"/>
          <w:rFonts w:ascii="Arial" w:hAnsi="Arial" w:eastAsia="Arial" w:cs="Arial"/>
          <w:i/>
          <w:lang w:val="sr-Cyrl-RS"/>
        </w:rPr>
        <w:fldChar w:fldCharType="end"/>
      </w:r>
      <w:r>
        <w:rPr>
          <w:rFonts w:ascii="Arial" w:hAnsi="Arial" w:eastAsia="Arial" w:cs="Arial"/>
          <w:i/>
          <w:lang w:val="sr-Cyrl-RS"/>
        </w:rPr>
        <w:t xml:space="preserve">  ) и ТОС Мапа Србије (</w:t>
      </w:r>
      <w:r>
        <w:fldChar w:fldCharType="begin"/>
      </w:r>
      <w:r>
        <w:instrText xml:space="preserve"> HYPERLINK "https://issuu.com/serbiatravel/docs/turisticka_karta_2021" </w:instrText>
      </w:r>
      <w:r>
        <w:fldChar w:fldCharType="separate"/>
      </w:r>
      <w:r>
        <w:rPr>
          <w:rStyle w:val="17"/>
          <w:rFonts w:ascii="Arial" w:hAnsi="Arial" w:eastAsia="Arial" w:cs="Arial"/>
          <w:i/>
          <w:lang w:val="sr-Cyrl-RS"/>
        </w:rPr>
        <w:t>https://issuu.com/serbiatravel/docs/turisticka_karta_2021</w:t>
      </w:r>
      <w:r>
        <w:rPr>
          <w:rStyle w:val="17"/>
          <w:rFonts w:ascii="Arial" w:hAnsi="Arial" w:eastAsia="Arial" w:cs="Arial"/>
          <w:i/>
          <w:lang w:val="sr-Cyrl-RS"/>
        </w:rPr>
        <w:fldChar w:fldCharType="end"/>
      </w:r>
      <w:r>
        <w:rPr>
          <w:rFonts w:ascii="Arial" w:hAnsi="Arial" w:eastAsia="Arial" w:cs="Arial"/>
          <w:i/>
          <w:lang w:val="sr-Cyrl-RS"/>
        </w:rPr>
        <w:t xml:space="preserve"> )</w:t>
      </w:r>
    </w:p>
    <w:p>
      <w:pPr>
        <w:spacing w:line="108" w:lineRule="exact"/>
        <w:rPr>
          <w:rFonts w:ascii="Arial" w:hAnsi="Arial" w:cs="Arial"/>
          <w:lang w:val="sr-Cyrl-RS"/>
        </w:rPr>
      </w:pPr>
    </w:p>
    <w:p>
      <w:pPr>
        <w:spacing w:line="273" w:lineRule="auto"/>
        <w:jc w:val="both"/>
        <w:rPr>
          <w:rFonts w:ascii="Arial" w:hAnsi="Arial" w:eastAsia="Arial" w:cs="Arial"/>
          <w:lang w:val="sr-Cyrl-RS"/>
        </w:rPr>
      </w:pPr>
      <w:r>
        <w:rPr>
          <w:rFonts w:ascii="Arial" w:hAnsi="Arial" w:eastAsia="Arial" w:cs="Arial"/>
          <w:lang w:val="sr-Cyrl-RS"/>
        </w:rPr>
        <w:t>Главна саобраћајница долази из правца Београда до северне границе Ниша, одакле се рачва ка југу долином Јужне Мораве и Вардара и води ка Солуну и Атини (Е-75) и истоку долином Нишаве и Марице према Софији, Истанбулу и даље ка Блиском и средњем истоку (Е-80). Правац који од Ниша води на запад ка Топлици (граница са Црном Гором) повезује будуће аутопутеве Београд – Јужни Јадран и Ђердап – Зајечар - Ниш.</w:t>
      </w:r>
    </w:p>
    <w:p>
      <w:pPr>
        <w:spacing w:line="337" w:lineRule="exact"/>
        <w:rPr>
          <w:rFonts w:ascii="Arial" w:hAnsi="Arial" w:cs="Arial"/>
          <w:lang w:val="sr-Cyrl-RS"/>
        </w:rPr>
      </w:pPr>
    </w:p>
    <w:p>
      <w:pPr>
        <w:spacing w:line="274" w:lineRule="auto"/>
        <w:jc w:val="both"/>
        <w:rPr>
          <w:rFonts w:ascii="Arial" w:hAnsi="Arial" w:eastAsia="Arial" w:cs="Arial"/>
          <w:lang w:val="sr-Cyrl-RS"/>
        </w:rPr>
      </w:pPr>
      <w:r>
        <w:rPr>
          <w:rFonts w:ascii="Arial" w:hAnsi="Arial" w:eastAsia="Arial" w:cs="Arial"/>
          <w:lang w:val="sr-Cyrl-RS"/>
        </w:rPr>
        <w:t>Аеодром Константин Велики Ниш представља другу највећу ваздушну луку у Србији и значајан предуслов за долазак страних гостију у Србију. Компаније</w:t>
      </w:r>
      <w:r>
        <w:rPr>
          <w:rFonts w:ascii="Arial" w:hAnsi="Arial" w:cs="Arial"/>
          <w:lang w:val="sr-Cyrl-RS"/>
        </w:rPr>
        <w:t xml:space="preserve"> Air Serbia</w:t>
      </w:r>
      <w:r>
        <w:rPr>
          <w:rFonts w:ascii="Arial" w:hAnsi="Arial" w:eastAsia="Arial" w:cs="Arial"/>
          <w:lang w:val="sr-Cyrl-RS"/>
        </w:rPr>
        <w:t xml:space="preserve"> (</w:t>
      </w:r>
      <w:r>
        <w:rPr>
          <w:rFonts w:ascii="Arial" w:hAnsi="Arial" w:cs="Arial"/>
          <w:lang w:val="sr-Cyrl-RS"/>
        </w:rPr>
        <w:t>JU / ASL</w:t>
      </w:r>
      <w:r>
        <w:rPr>
          <w:rFonts w:ascii="Arial" w:hAnsi="Arial" w:eastAsia="Arial" w:cs="Arial"/>
          <w:lang w:val="sr-Cyrl-RS"/>
        </w:rPr>
        <w:t>), Wizz Аir (W6 / WЗЗ) и</w:t>
      </w:r>
      <w:r>
        <w:rPr>
          <w:rFonts w:ascii="Arial" w:hAnsi="Arial" w:cs="Arial"/>
          <w:lang w:val="sr-Cyrl-RS"/>
        </w:rPr>
        <w:t xml:space="preserve"> Ryanair</w:t>
      </w:r>
      <w:r>
        <w:rPr>
          <w:rFonts w:ascii="Arial" w:hAnsi="Arial" w:eastAsia="Arial" w:cs="Arial"/>
          <w:lang w:val="sr-Cyrl-RS"/>
        </w:rPr>
        <w:t xml:space="preserve"> (ФР / РYР) повезују Ниш са</w:t>
      </w:r>
      <w:r>
        <w:rPr>
          <w:rFonts w:ascii="Arial" w:hAnsi="Arial" w:cs="Arial"/>
          <w:lang w:val="sr-Cyrl-RS"/>
        </w:rPr>
        <w:t xml:space="preserve"> </w:t>
      </w:r>
      <w:r>
        <w:rPr>
          <w:rFonts w:ascii="Arial" w:hAnsi="Arial" w:eastAsia="Arial" w:cs="Arial"/>
          <w:lang w:val="sr-Cyrl-RS"/>
        </w:rPr>
        <w:t xml:space="preserve">дестинацијама (Базел, Франкфурт, Истанбул, Дортмунд, Малме, Малта, Меминген, Милано, Стокхолм, Љубљана, Беч, Келн, Београд и сезонски летови до Атине, Крфа и Тивта). Број авио путника у 2023. повећан је за 15% у односу на 2022. годину и 6.1% у односу на 2019. годину пре Ковида. </w:t>
      </w:r>
    </w:p>
    <w:p>
      <w:pPr>
        <w:spacing w:line="20" w:lineRule="exact"/>
        <w:rPr>
          <w:rFonts w:ascii="Arial" w:hAnsi="Arial" w:cs="Arial"/>
          <w:lang w:val="sr-Cyrl-RS"/>
        </w:rPr>
      </w:pPr>
    </w:p>
    <w:p>
      <w:pPr>
        <w:spacing w:line="200" w:lineRule="exact"/>
        <w:rPr>
          <w:rFonts w:ascii="Arial" w:hAnsi="Arial" w:cs="Arial"/>
          <w:lang w:val="sr-Cyrl-RS"/>
        </w:rPr>
      </w:pPr>
    </w:p>
    <w:p>
      <w:pPr>
        <w:pStyle w:val="67"/>
        <w:rPr>
          <w:rFonts w:ascii="Arial" w:hAnsi="Arial" w:cs="Arial"/>
          <w:lang w:val="sr-Cyrl-RS"/>
        </w:rPr>
      </w:pPr>
      <w:r>
        <w:rPr>
          <w:rFonts w:ascii="Arial" w:hAnsi="Arial" w:cs="Arial"/>
          <w:lang w:eastAsia="en-US"/>
        </w:rPr>
        <w:drawing>
          <wp:inline distT="0" distB="0" distL="0" distR="0">
            <wp:extent cx="5727700" cy="791210"/>
            <wp:effectExtent l="0" t="0" r="0" b="0"/>
            <wp:docPr id="2116738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38193" name="Picture 1" descr="A screenshot of a compu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791210"/>
                    </a:xfrm>
                    <a:prstGeom prst="rect">
                      <a:avLst/>
                    </a:prstGeom>
                  </pic:spPr>
                </pic:pic>
              </a:graphicData>
            </a:graphic>
          </wp:inline>
        </w:drawing>
      </w:r>
    </w:p>
    <w:p>
      <w:pPr>
        <w:spacing w:line="262" w:lineRule="auto"/>
        <w:ind w:right="20"/>
        <w:jc w:val="both"/>
        <w:rPr>
          <w:rFonts w:ascii="Arial" w:hAnsi="Arial" w:eastAsia="Arial" w:cs="Arial"/>
          <w:i/>
          <w:lang w:val="sr-Cyrl-RS"/>
        </w:rPr>
      </w:pPr>
      <w:r>
        <w:rPr>
          <w:rFonts w:ascii="Arial" w:hAnsi="Arial" w:eastAsia="Arial" w:cs="Arial"/>
          <w:i/>
          <w:lang w:val="sr-Cyrl-RS"/>
        </w:rPr>
        <w:t>Извор:  Аеродром Констатин Велики, Нишг</w:t>
      </w:r>
      <w:r>
        <w:rPr>
          <w:rStyle w:val="13"/>
          <w:rFonts w:ascii="Arial" w:hAnsi="Arial" w:eastAsia="Arial" w:cs="Arial"/>
          <w:i/>
          <w:lang w:val="sr-Cyrl-RS"/>
        </w:rPr>
        <w:footnoteReference w:id="0"/>
      </w:r>
    </w:p>
    <w:p>
      <w:pPr>
        <w:spacing w:line="222" w:lineRule="exact"/>
        <w:rPr>
          <w:rFonts w:ascii="Arial" w:hAnsi="Arial" w:cs="Arial"/>
          <w:lang w:val="sr-Cyrl-RS"/>
        </w:rPr>
      </w:pPr>
    </w:p>
    <w:p>
      <w:pPr>
        <w:spacing w:line="0" w:lineRule="atLeast"/>
        <w:rPr>
          <w:rFonts w:ascii="Arial" w:hAnsi="Arial" w:eastAsia="Arial" w:cs="Arial"/>
          <w:b/>
          <w:u w:val="single"/>
          <w:lang w:val="sr-Cyrl-RS"/>
        </w:rPr>
      </w:pPr>
      <w:r>
        <w:rPr>
          <w:rFonts w:ascii="Arial" w:hAnsi="Arial" w:eastAsia="Arial" w:cs="Arial"/>
          <w:b/>
          <w:u w:val="single"/>
          <w:lang w:val="sr-Cyrl-RS"/>
        </w:rPr>
        <w:t>Анализом тренутног стања саобраћаја Гаџиног Хана утврђено је следеће:</w:t>
      </w:r>
    </w:p>
    <w:p>
      <w:pPr>
        <w:spacing w:line="210" w:lineRule="exact"/>
        <w:rPr>
          <w:rFonts w:ascii="Arial" w:hAnsi="Arial" w:cs="Arial"/>
          <w:lang w:val="sr-Cyrl-RS"/>
        </w:rPr>
      </w:pPr>
    </w:p>
    <w:p>
      <w:pPr>
        <w:spacing w:line="269" w:lineRule="auto"/>
        <w:ind w:right="20"/>
        <w:jc w:val="both"/>
        <w:rPr>
          <w:rFonts w:ascii="Arial" w:hAnsi="Arial" w:eastAsia="Arial" w:cs="Arial"/>
          <w:lang w:val="sr-Cyrl-RS"/>
        </w:rPr>
      </w:pPr>
      <w:r>
        <w:rPr>
          <w:rFonts w:ascii="Arial" w:hAnsi="Arial" w:eastAsia="Arial" w:cs="Arial"/>
          <w:b/>
          <w:u w:val="single"/>
          <w:lang w:val="sr-Cyrl-RS"/>
        </w:rPr>
        <w:t>Друмски саобраћај</w:t>
      </w:r>
      <w:r>
        <w:rPr>
          <w:rFonts w:ascii="Arial" w:hAnsi="Arial" w:eastAsia="Arial" w:cs="Arial"/>
          <w:lang w:val="sr-Cyrl-RS"/>
        </w:rPr>
        <w:t xml:space="preserve"> се ослања на аутобуске линије од и према Нишу. Треба нагласити да је удаљеност Гаџиног Хана од Ниша до 20km</w:t>
      </w:r>
    </w:p>
    <w:p>
      <w:pPr>
        <w:spacing w:line="166"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Аутобуска станица се налази на адреси Вука Караџића 42.</w:t>
      </w:r>
    </w:p>
    <w:p>
      <w:pPr>
        <w:spacing w:line="215" w:lineRule="exact"/>
        <w:rPr>
          <w:rFonts w:ascii="Arial" w:hAnsi="Arial" w:cs="Arial"/>
          <w:lang w:val="sr-Cyrl-RS"/>
        </w:rPr>
      </w:pPr>
    </w:p>
    <w:p>
      <w:pPr>
        <w:spacing w:line="264" w:lineRule="auto"/>
        <w:jc w:val="both"/>
        <w:rPr>
          <w:rFonts w:ascii="Arial" w:hAnsi="Arial" w:eastAsia="Arial" w:cs="Arial"/>
          <w:lang w:val="sr-Cyrl-RS"/>
        </w:rPr>
      </w:pPr>
      <w:r>
        <w:rPr>
          <w:rFonts w:ascii="Arial" w:hAnsi="Arial" w:eastAsia="Arial" w:cs="Arial"/>
          <w:lang w:val="sr-Cyrl-RS"/>
        </w:rPr>
        <w:t>Тренутно постоји радним данима 7 полазака аутобуса из Ниша ка Доњем Душнику, викендом је број полазака знатно мањи и зависи од сезоне.</w:t>
      </w:r>
    </w:p>
    <w:p>
      <w:pPr>
        <w:spacing w:line="210" w:lineRule="exact"/>
        <w:rPr>
          <w:rFonts w:ascii="Arial" w:hAnsi="Arial" w:cs="Arial"/>
          <w:lang w:val="sr-Cyrl-RS"/>
        </w:rPr>
      </w:pPr>
    </w:p>
    <w:p>
      <w:pPr>
        <w:spacing w:before="100" w:beforeAutospacing="1" w:after="150" w:line="276" w:lineRule="auto"/>
        <w:jc w:val="both"/>
        <w:rPr>
          <w:rFonts w:ascii="Arial" w:hAnsi="Arial" w:cs="Arial"/>
          <w:color w:val="000000" w:themeColor="text1"/>
          <w:lang w:val="sr-Cyrl-RS"/>
          <w14:textFill>
            <w14:solidFill>
              <w14:schemeClr w14:val="tx1"/>
            </w14:solidFill>
          </w14:textFill>
        </w:rPr>
      </w:pPr>
      <w:r>
        <w:rPr>
          <w:rFonts w:ascii="Arial" w:hAnsi="Arial" w:eastAsia="Arial" w:cs="Arial"/>
          <w:lang w:val="sr-Cyrl-RS"/>
        </w:rPr>
        <w:t xml:space="preserve">Друмска инфраструктура је задовољавајућа, иако су потребна знатна унапређења, </w:t>
      </w:r>
      <w:r>
        <w:rPr>
          <w:rFonts w:ascii="Arial" w:hAnsi="Arial" w:cs="Arial"/>
          <w:color w:val="000000" w:themeColor="text1"/>
          <w:lang w:val="sr-Cyrl-RS"/>
          <w14:textFill>
            <w14:solidFill>
              <w14:schemeClr w14:val="tx1"/>
            </w14:solidFill>
          </w14:textFill>
        </w:rPr>
        <w:t xml:space="preserve">У циљу развоја саобраћајне инфраструктуре у Гаџином Хану потребно је унапредити и даље развијати постојећу саобраћајну инфраструктуру регионалних путних праваца (Р-241, Р-242, Р-124.) бициклистичке сервисе и  паркиралишта. Путна и туристичка сигнализација је задовољавајућа. Близина аутопута E75 омогућава добар потенцијал за прихват транзитних и кампинг туриста. </w:t>
      </w:r>
    </w:p>
    <w:p>
      <w:pPr>
        <w:spacing w:after="200" w:line="276" w:lineRule="auto"/>
        <w:rPr>
          <w:rFonts w:ascii="Arial" w:hAnsi="Arial" w:cs="Arial" w:eastAsiaTheme="minorHAnsi"/>
          <w:i/>
          <w:iCs/>
          <w:color w:val="000000" w:themeColor="text1"/>
          <w:lang w:val="sr-Cyrl-RS" w:eastAsia="en-US"/>
          <w14:textFill>
            <w14:solidFill>
              <w14:schemeClr w14:val="tx1"/>
            </w14:solidFill>
          </w14:textFill>
        </w:rPr>
      </w:pPr>
      <w:r>
        <w:rPr>
          <w:rFonts w:ascii="Arial" w:hAnsi="Arial" w:cs="Arial"/>
          <w:i/>
          <w:iCs/>
          <w:color w:val="000000" w:themeColor="text1"/>
          <w:lang w:val="sr-Cyrl-RS" w:eastAsia="en-US"/>
          <w14:textFill>
            <w14:solidFill>
              <w14:schemeClr w14:val="tx1"/>
            </w14:solidFill>
          </w14:textFill>
        </w:rPr>
        <w:t>Слика 10. Туристичка сигнализација Доњи душник, “VTC”</w:t>
      </w:r>
    </w:p>
    <w:p>
      <w:pPr>
        <w:keepNext/>
        <w:spacing w:line="276" w:lineRule="auto"/>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eastAsia="en-US"/>
          <w14:textFill>
            <w14:solidFill>
              <w14:schemeClr w14:val="tx1"/>
            </w14:solidFill>
          </w14:textFill>
        </w:rPr>
        <w:drawing>
          <wp:inline distT="0" distB="0" distL="0" distR="0">
            <wp:extent cx="5730875" cy="2192020"/>
            <wp:effectExtent l="0" t="0" r="0" b="5080"/>
            <wp:docPr id="54" name="Picture 54" descr="A sign with arrows pointing to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ign with arrows pointing to different directions&#10;&#10;Description automatically generated"/>
                    <pic:cNvPicPr>
                      <a:picLocks noChangeAspect="1"/>
                    </pic:cNvPicPr>
                  </pic:nvPicPr>
                  <pic:blipFill>
                    <a:blip r:embed="rId21" cstate="email"/>
                    <a:srcRect/>
                    <a:stretch>
                      <a:fillRect/>
                    </a:stretch>
                  </pic:blipFill>
                  <pic:spPr>
                    <a:xfrm>
                      <a:off x="0" y="0"/>
                      <a:ext cx="5731510" cy="2192443"/>
                    </a:xfrm>
                    <a:prstGeom prst="rect">
                      <a:avLst/>
                    </a:prstGeom>
                    <a:ln>
                      <a:noFill/>
                    </a:ln>
                  </pic:spPr>
                </pic:pic>
              </a:graphicData>
            </a:graphic>
          </wp:inline>
        </w:drawing>
      </w:r>
    </w:p>
    <w:p>
      <w:pPr>
        <w:spacing w:after="200" w:line="276" w:lineRule="auto"/>
        <w:rPr>
          <w:rFonts w:ascii="Arial" w:hAnsi="Arial" w:cs="Arial" w:eastAsiaTheme="minorHAnsi"/>
          <w:i/>
          <w:iCs/>
          <w:color w:val="000000" w:themeColor="text1"/>
          <w:lang w:val="sr-Cyrl-RS" w:eastAsia="en-US"/>
          <w14:textFill>
            <w14:solidFill>
              <w14:schemeClr w14:val="tx1"/>
            </w14:solidFill>
          </w14:textFill>
        </w:rPr>
      </w:pPr>
      <w:r>
        <w:rPr>
          <w:rFonts w:ascii="Arial" w:hAnsi="Arial" w:cs="Arial"/>
          <w:i/>
          <w:iCs/>
          <w:color w:val="000000" w:themeColor="text1"/>
          <w:lang w:val="sr-Cyrl-RS" w:eastAsia="en-US"/>
          <w14:textFill>
            <w14:solidFill>
              <w14:schemeClr w14:val="tx1"/>
            </w14:solidFill>
          </w14:textFill>
        </w:rPr>
        <w:t>Извор: архива ”VTC”</w:t>
      </w:r>
    </w:p>
    <w:p>
      <w:pPr>
        <w:spacing w:line="268" w:lineRule="auto"/>
        <w:ind w:right="20"/>
        <w:jc w:val="both"/>
        <w:rPr>
          <w:rFonts w:ascii="Arial" w:hAnsi="Arial" w:eastAsia="Arial" w:cs="Arial"/>
          <w:lang w:val="sr-Cyrl-RS"/>
        </w:rPr>
      </w:pPr>
      <w:r>
        <w:rPr>
          <w:rFonts w:ascii="Arial" w:hAnsi="Arial" w:eastAsia="Arial" w:cs="Arial"/>
          <w:b/>
          <w:u w:val="single"/>
          <w:lang w:val="sr-Cyrl-RS"/>
        </w:rPr>
        <w:t>Железнички саобраћај</w:t>
      </w:r>
      <w:r>
        <w:rPr>
          <w:rFonts w:ascii="Arial" w:hAnsi="Arial" w:eastAsia="Arial" w:cs="Arial"/>
          <w:lang w:val="sr-Cyrl-RS"/>
        </w:rPr>
        <w:t xml:space="preserve"> се такође ослања на Ниш, кроз Гаџин Хан не пролази пруга.</w:t>
      </w:r>
    </w:p>
    <w:p>
      <w:pPr>
        <w:spacing w:before="100" w:beforeAutospacing="1" w:after="150" w:line="276" w:lineRule="auto"/>
        <w:contextualSpacing/>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Комунална инфраструктура: водоснабдевање, електрична енергија, телекомуникације, сакупљање отпада и здравље.</w:t>
      </w:r>
    </w:p>
    <w:p>
      <w:pPr>
        <w:spacing w:before="100" w:beforeAutospacing="1" w:after="150" w:line="276" w:lineRule="auto"/>
        <w:contextualSpacing/>
        <w:rPr>
          <w:rFonts w:ascii="Arial" w:hAnsi="Arial" w:cs="Arial"/>
          <w:color w:val="000000" w:themeColor="text1"/>
          <w:lang w:val="sr-Cyrl-RS"/>
          <w14:textFill>
            <w14:solidFill>
              <w14:schemeClr w14:val="tx1"/>
            </w14:solidFill>
          </w14:textFill>
        </w:rPr>
      </w:pPr>
    </w:p>
    <w:p>
      <w:pPr>
        <w:spacing w:line="276" w:lineRule="auto"/>
        <w:rPr>
          <w:rFonts w:ascii="Arial" w:hAnsi="Arial" w:cs="Arial"/>
          <w:lang w:val="sr-Cyrl-RS"/>
        </w:rPr>
      </w:pPr>
      <w:r>
        <w:rPr>
          <w:rFonts w:ascii="Arial" w:hAnsi="Arial" w:cs="Arial"/>
          <w:lang w:val="sr-Cyrl-RS"/>
        </w:rPr>
        <w:t>Снабдевање водом у Општини је разнолико што ће рећи да се један део снабдева организовано преко водовода који захвата воду са врела у Доњем Душнику којим газдује ЈП Дирекција за комуналне делатности и изградњу Гаџин Хан и други, где свака месна заједница  има свој, један или више водовода.</w:t>
      </w:r>
    </w:p>
    <w:p>
      <w:pPr>
        <w:spacing w:line="276" w:lineRule="auto"/>
        <w:rPr>
          <w:rFonts w:ascii="Arial" w:hAnsi="Arial" w:cs="Arial"/>
          <w:lang w:val="sr-Cyrl-RS"/>
        </w:rPr>
      </w:pPr>
    </w:p>
    <w:p>
      <w:pPr>
        <w:spacing w:line="276" w:lineRule="auto"/>
        <w:rPr>
          <w:rFonts w:ascii="Arial" w:hAnsi="Arial" w:cs="Arial"/>
          <w:lang w:val="sr-Cyrl-RS"/>
        </w:rPr>
      </w:pPr>
      <w:r>
        <w:rPr>
          <w:rFonts w:ascii="Arial" w:hAnsi="Arial" w:cs="Arial"/>
          <w:lang w:val="sr-Cyrl-RS"/>
        </w:rPr>
        <w:t>Може се рећи генерално за све сеоске водоводе да има великих проблема и да се ту морају тражити другачија решења, како због биолошке, тако и хемијске исправности, са једне стране, тако и због проблема везаних за капацитете и могућности подједнаког коришћења од стране мештана.</w:t>
      </w:r>
    </w:p>
    <w:p>
      <w:pPr>
        <w:spacing w:line="276" w:lineRule="auto"/>
        <w:rPr>
          <w:rFonts w:ascii="Arial" w:hAnsi="Arial" w:cs="Arial"/>
          <w:i/>
          <w:iCs/>
          <w:color w:val="000000" w:themeColor="text1"/>
          <w:lang w:val="sr-Cyrl-RS" w:eastAsia="en-US"/>
          <w14:textFill>
            <w14:solidFill>
              <w14:schemeClr w14:val="tx1"/>
            </w14:solidFill>
          </w14:textFill>
        </w:rPr>
      </w:pPr>
    </w:p>
    <w:p>
      <w:pPr>
        <w:spacing w:line="276" w:lineRule="auto"/>
        <w:rPr>
          <w:rFonts w:ascii="Arial" w:hAnsi="Arial" w:cs="Arial"/>
          <w:i/>
          <w:iCs/>
          <w:color w:val="000000" w:themeColor="text1"/>
          <w:lang w:val="sr-Cyrl-RS" w:eastAsia="en-US"/>
          <w14:textFill>
            <w14:solidFill>
              <w14:schemeClr w14:val="tx1"/>
            </w14:solidFill>
          </w14:textFill>
        </w:rPr>
      </w:pPr>
    </w:p>
    <w:p>
      <w:pPr>
        <w:spacing w:line="276" w:lineRule="auto"/>
        <w:rPr>
          <w:rFonts w:ascii="Arial" w:hAnsi="Arial" w:cs="Arial"/>
          <w:i/>
          <w:iCs/>
          <w:color w:val="000000" w:themeColor="text1"/>
          <w:lang w:val="sr-Cyrl-RS" w:eastAsia="en-US"/>
          <w14:textFill>
            <w14:solidFill>
              <w14:schemeClr w14:val="tx1"/>
            </w14:solidFill>
          </w14:textFill>
        </w:rPr>
      </w:pPr>
    </w:p>
    <w:p>
      <w:pPr>
        <w:spacing w:line="276" w:lineRule="auto"/>
        <w:rPr>
          <w:rFonts w:ascii="Arial" w:hAnsi="Arial" w:cs="Arial"/>
          <w:lang w:val="sr-Cyrl-RS"/>
        </w:rPr>
      </w:pPr>
      <w:r>
        <w:rPr>
          <w:rFonts w:ascii="Arial" w:hAnsi="Arial" w:cs="Arial"/>
          <w:i/>
          <w:iCs/>
          <w:color w:val="000000" w:themeColor="text1"/>
          <w:lang w:val="sr-Cyrl-RS" w:eastAsia="en-US"/>
          <w14:textFill>
            <w14:solidFill>
              <w14:schemeClr w14:val="tx1"/>
            </w14:solidFill>
          </w14:textFill>
        </w:rPr>
        <w:t xml:space="preserve">Слика </w:t>
      </w:r>
      <w:r>
        <w:rPr>
          <w:rFonts w:ascii="Arial" w:hAnsi="Arial" w:cs="Arial"/>
          <w:i/>
          <w:iCs/>
          <w:color w:val="000000" w:themeColor="text1"/>
          <w:lang w:val="sr-Cyrl-RS" w:eastAsia="en-US"/>
          <w14:textFill>
            <w14:solidFill>
              <w14:schemeClr w14:val="tx1"/>
            </w14:solidFill>
          </w14:textFill>
        </w:rPr>
        <w:fldChar w:fldCharType="begin"/>
      </w:r>
      <w:r>
        <w:rPr>
          <w:rFonts w:ascii="Arial" w:hAnsi="Arial" w:cs="Arial"/>
          <w:i/>
          <w:iCs/>
          <w:color w:val="000000" w:themeColor="text1"/>
          <w:lang w:val="sr-Cyrl-RS" w:eastAsia="en-US"/>
          <w14:textFill>
            <w14:solidFill>
              <w14:schemeClr w14:val="tx1"/>
            </w14:solidFill>
          </w14:textFill>
        </w:rPr>
        <w:instrText xml:space="preserve"> SEQ Slika \* ARABIC </w:instrText>
      </w:r>
      <w:r>
        <w:rPr>
          <w:rFonts w:ascii="Arial" w:hAnsi="Arial" w:cs="Arial"/>
          <w:i/>
          <w:iCs/>
          <w:color w:val="000000" w:themeColor="text1"/>
          <w:lang w:val="sr-Cyrl-RS" w:eastAsia="en-US"/>
          <w14:textFill>
            <w14:solidFill>
              <w14:schemeClr w14:val="tx1"/>
            </w14:solidFill>
          </w14:textFill>
        </w:rPr>
        <w:fldChar w:fldCharType="separate"/>
      </w:r>
      <w:r>
        <w:rPr>
          <w:rFonts w:ascii="Arial" w:hAnsi="Arial" w:cs="Arial"/>
          <w:i/>
          <w:iCs/>
          <w:color w:val="000000" w:themeColor="text1"/>
          <w:lang w:val="sr-Cyrl-RS" w:eastAsia="en-US"/>
          <w14:textFill>
            <w14:solidFill>
              <w14:schemeClr w14:val="tx1"/>
            </w14:solidFill>
          </w14:textFill>
        </w:rPr>
        <w:t>1</w:t>
      </w:r>
      <w:r>
        <w:rPr>
          <w:rFonts w:ascii="Arial" w:hAnsi="Arial" w:cs="Arial"/>
          <w:i/>
          <w:iCs/>
          <w:color w:val="000000" w:themeColor="text1"/>
          <w:lang w:val="sr-Cyrl-RS" w:eastAsia="en-US"/>
          <w14:textFill>
            <w14:solidFill>
              <w14:schemeClr w14:val="tx1"/>
            </w14:solidFill>
          </w14:textFill>
        </w:rPr>
        <w:fldChar w:fldCharType="end"/>
      </w:r>
      <w:r>
        <w:rPr>
          <w:rFonts w:ascii="Arial" w:hAnsi="Arial" w:cs="Arial"/>
          <w:i/>
          <w:iCs/>
          <w:color w:val="000000" w:themeColor="text1"/>
          <w:lang w:val="sr-Cyrl-RS" w:eastAsia="en-US"/>
          <w14:textFill>
            <w14:solidFill>
              <w14:schemeClr w14:val="tx1"/>
            </w14:solidFill>
          </w14:textFill>
        </w:rPr>
        <w:t>1. Врело у Горњем Душнику,</w:t>
      </w:r>
    </w:p>
    <w:p>
      <w:pPr>
        <w:keepNext/>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eastAsia="en-US"/>
          <w14:textFill>
            <w14:solidFill>
              <w14:schemeClr w14:val="tx1"/>
            </w14:solidFill>
          </w14:textFill>
        </w:rPr>
        <w:drawing>
          <wp:inline distT="0" distB="0" distL="0" distR="0">
            <wp:extent cx="5730875" cy="2555875"/>
            <wp:effectExtent l="0" t="0" r="0" b="0"/>
            <wp:docPr id="213749837" name="Picture 213749837" descr="A patch of grass and bu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9837" name="Picture 213749837" descr="A patch of grass and bushes&#10;&#10;Description automatically generated with medium confidence"/>
                    <pic:cNvPicPr>
                      <a:picLocks noChangeAspect="1"/>
                    </pic:cNvPicPr>
                  </pic:nvPicPr>
                  <pic:blipFill>
                    <a:blip r:embed="rId22" cstate="email"/>
                    <a:srcRect/>
                    <a:stretch>
                      <a:fillRect/>
                    </a:stretch>
                  </pic:blipFill>
                  <pic:spPr>
                    <a:xfrm>
                      <a:off x="0" y="0"/>
                      <a:ext cx="5731510" cy="2555968"/>
                    </a:xfrm>
                    <a:prstGeom prst="rect">
                      <a:avLst/>
                    </a:prstGeom>
                    <a:ln>
                      <a:noFill/>
                    </a:ln>
                  </pic:spPr>
                </pic:pic>
              </a:graphicData>
            </a:graphic>
          </wp:inline>
        </w:drawing>
      </w:r>
    </w:p>
    <w:p>
      <w:pPr>
        <w:spacing w:line="276" w:lineRule="auto"/>
        <w:jc w:val="both"/>
        <w:rPr>
          <w:rFonts w:ascii="Arial" w:hAnsi="Arial" w:cs="Arial" w:eastAsiaTheme="minorHAnsi"/>
          <w:i/>
          <w:iCs/>
          <w:color w:val="000000" w:themeColor="text1"/>
          <w:lang w:val="sr-Cyrl-RS" w:eastAsia="en-US"/>
          <w14:textFill>
            <w14:solidFill>
              <w14:schemeClr w14:val="tx1"/>
            </w14:solidFill>
          </w14:textFill>
        </w:rPr>
      </w:pPr>
      <w:r>
        <w:rPr>
          <w:rFonts w:ascii="Arial" w:hAnsi="Arial" w:cs="Arial"/>
          <w:i/>
          <w:iCs/>
          <w:color w:val="000000" w:themeColor="text1"/>
          <w:lang w:val="sr-Cyrl-RS" w:eastAsia="en-US"/>
          <w14:textFill>
            <w14:solidFill>
              <w14:schemeClr w14:val="tx1"/>
            </w14:solidFill>
          </w14:textFill>
        </w:rPr>
        <w:t>Извор: архива “VTC”</w:t>
      </w:r>
    </w:p>
    <w:p>
      <w:pPr>
        <w:spacing w:before="100" w:beforeAutospacing="1" w:after="15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Снабдевање електричном енергијом на територији општина Гаџин Хан је солидно,</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интернет сигнал је слаб на већини места (села и у околни туристичких атракција) осим у Гаџином Хану, где се налази и пошта (улица Милоша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Обилића без броја). Гаџин Хан располаже са 39 телефонских линија (на 100 становника).</w:t>
      </w:r>
    </w:p>
    <w:p>
      <w:pPr>
        <w:spacing w:before="100" w:beforeAutospacing="1" w:after="15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Тренутна ситуација показује да општина Гаџин Хан иако поседује План интегрисаног управљања комуналним отпадом, још увек није развила добар систем праћења еколошких фактора на својој територији. Недавно је набављен и еко камион за сакупљање отпада, а на стајалиштима и поред пута постављене су табле које упозоравају на заштиту природне околине. Земљиште на територији Општине Гаџин Хан се налази у добром стању. Потенцијални загађивачи земљишта су пољопривредници, из разлога неадекватне употребе пестицида и хибрицида у пољопривредној производњи.</w:t>
      </w:r>
    </w:p>
    <w:p>
      <w:pPr>
        <w:spacing w:before="100" w:beforeAutospacing="1" w:after="15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Основни видови здравствене заштите обављају се у Дому здравља у Гаџином Хану и 7 амбуланти са 64 запослених (одређено и неодређено време).  Рад Дома здравља одређен је Законом о здравственој заштити, Законом о здравственом осигурању и другим актима. Такође у близини се налази и Град Ниш који пружа све додатне здравствене услуге. </w:t>
      </w:r>
    </w:p>
    <w:p>
      <w:pPr>
        <w:pStyle w:val="67"/>
        <w:rPr>
          <w:rFonts w:ascii="Arial" w:hAnsi="Arial" w:cs="Arial"/>
          <w:b/>
          <w:bCs/>
          <w:lang w:val="sr-Cyrl-RS"/>
        </w:rPr>
      </w:pPr>
      <w:r>
        <w:rPr>
          <w:rFonts w:ascii="Arial" w:hAnsi="Arial" w:cs="Arial"/>
          <w:b/>
          <w:bCs/>
          <w:lang w:val="sr-Cyrl-RS"/>
        </w:rPr>
        <w:t>Туристичка инфраструктура</w:t>
      </w:r>
    </w:p>
    <w:p>
      <w:pPr>
        <w:spacing w:before="100" w:beforeAutospacing="1" w:after="150" w:line="276" w:lineRule="auto"/>
        <w:jc w:val="both"/>
        <w:rPr>
          <w:rFonts w:ascii="Arial" w:hAnsi="Arial" w:cs="Arial"/>
          <w:color w:val="000000"/>
          <w:lang w:val="sr-Cyrl-RS"/>
        </w:rPr>
      </w:pPr>
      <w:r>
        <w:rPr>
          <w:rFonts w:ascii="Arial" w:hAnsi="Arial" w:cs="Arial"/>
          <w:color w:val="000000"/>
          <w:lang w:val="sr-Cyrl-RS"/>
        </w:rPr>
        <w:t xml:space="preserve">По Закону о туризму Републике Србије под туристичком инфраструктуром подразумевају се објекти за информисање, предах, снабдевање, рекреацију, едукацију и забаву туриста. Туристичка инфраструктура Гаџиног Хана је неразвијена и потребна су многа улагања </w:t>
      </w:r>
    </w:p>
    <w:p>
      <w:pPr>
        <w:spacing w:before="100" w:beforeAutospacing="1" w:after="150" w:line="276" w:lineRule="auto"/>
        <w:jc w:val="both"/>
        <w:rPr>
          <w:rFonts w:ascii="Arial" w:hAnsi="Arial" w:cs="Arial"/>
          <w:color w:val="000000"/>
          <w:lang w:val="sr-Cyrl-RS"/>
        </w:rPr>
      </w:pPr>
      <w:r>
        <w:rPr>
          <w:rFonts w:ascii="Arial" w:hAnsi="Arial" w:cs="Arial"/>
          <w:color w:val="000000"/>
          <w:lang w:val="sr-Cyrl-RS"/>
        </w:rPr>
        <w:t>Један од главних предуслова за развој и унапређење туристичке инфраструктуре односи се на оспособљавање простора за потребе инфо центра. Општина Гаџин Хан предвидела је оптималан простор на одличној локацији у селу Доњи душник у близини локалног пута и са местима предвиђеним за паркинг. Само неколико стотима метара налази се место планирано за изградњу комплекса базена са бунгаловима. Неке од манифестација које се организују на територији општине као што је ”Успон на трем” која окупљају преко 1000 учесника, а стартну позицију постављају на овој локацији</w:t>
      </w:r>
    </w:p>
    <w:p>
      <w:pPr>
        <w:spacing w:before="100" w:beforeAutospacing="1" w:after="150" w:line="276" w:lineRule="auto"/>
        <w:rPr>
          <w:rFonts w:ascii="Arial" w:hAnsi="Arial" w:cs="Arial"/>
          <w:color w:val="000000"/>
          <w:lang w:val="sr-Cyrl-RS"/>
        </w:rPr>
      </w:pPr>
      <w:r>
        <w:rPr>
          <w:rFonts w:ascii="Arial" w:hAnsi="Arial" w:cs="Arial"/>
          <w:color w:val="000000"/>
          <w:lang w:val="sr-Cyrl-RS"/>
        </w:rPr>
        <w:t>Слика 12. Изглед и локација објекта предвиђеног за туристички информативни центар</w:t>
      </w:r>
    </w:p>
    <w:p>
      <w:pPr>
        <w:spacing w:before="100" w:beforeAutospacing="1" w:after="150" w:line="276" w:lineRule="auto"/>
        <w:jc w:val="both"/>
        <w:rPr>
          <w:rFonts w:cs="Arial"/>
          <w:color w:val="000000"/>
          <w:lang w:val="sr-Cyrl-RS"/>
        </w:rPr>
      </w:pPr>
      <w:r>
        <w:rPr>
          <w:rFonts w:cs="Arial"/>
          <w:color w:val="000000"/>
          <w:lang w:eastAsia="en-US"/>
        </w:rPr>
        <w:drawing>
          <wp:inline distT="0" distB="0" distL="0" distR="0">
            <wp:extent cx="2677160" cy="2007870"/>
            <wp:effectExtent l="0" t="0" r="2540" b="0"/>
            <wp:docPr id="338244182" name="Picture 1" descr="A white house with a brick patio and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4182" name="Picture 1" descr="A white house with a brick patio and a playground&#10;&#10;Description automatically generated"/>
                    <pic:cNvPicPr>
                      <a:picLocks noChangeAspect="1"/>
                    </pic:cNvPicPr>
                  </pic:nvPicPr>
                  <pic:blipFill>
                    <a:blip r:embed="rId23" cstate="email"/>
                    <a:stretch>
                      <a:fillRect/>
                    </a:stretch>
                  </pic:blipFill>
                  <pic:spPr>
                    <a:xfrm>
                      <a:off x="0" y="0"/>
                      <a:ext cx="2701791" cy="2026493"/>
                    </a:xfrm>
                    <a:prstGeom prst="rect">
                      <a:avLst/>
                    </a:prstGeom>
                  </pic:spPr>
                </pic:pic>
              </a:graphicData>
            </a:graphic>
          </wp:inline>
        </w:drawing>
      </w:r>
      <w:r>
        <w:rPr>
          <w:rFonts w:cs="Arial"/>
          <w:color w:val="000000"/>
          <w:lang w:eastAsia="en-US"/>
        </w:rPr>
        <w:drawing>
          <wp:inline distT="0" distB="0" distL="0" distR="0">
            <wp:extent cx="2677160" cy="2007870"/>
            <wp:effectExtent l="0" t="0" r="2540" b="0"/>
            <wp:docPr id="829946173" name="Picture 2" descr="A white building with a bench and a pat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6173" name="Picture 2" descr="A white building with a bench and a path in a park&#10;&#10;Description automatically generated with medium confidence"/>
                    <pic:cNvPicPr>
                      <a:picLocks noChangeAspect="1"/>
                    </pic:cNvPicPr>
                  </pic:nvPicPr>
                  <pic:blipFill>
                    <a:blip r:embed="rId24" cstate="email"/>
                    <a:stretch>
                      <a:fillRect/>
                    </a:stretch>
                  </pic:blipFill>
                  <pic:spPr>
                    <a:xfrm>
                      <a:off x="0" y="0"/>
                      <a:ext cx="2705395" cy="2029196"/>
                    </a:xfrm>
                    <a:prstGeom prst="rect">
                      <a:avLst/>
                    </a:prstGeom>
                  </pic:spPr>
                </pic:pic>
              </a:graphicData>
            </a:graphic>
          </wp:inline>
        </w:drawing>
      </w:r>
    </w:p>
    <w:p>
      <w:pPr>
        <w:spacing w:before="100" w:beforeAutospacing="1" w:after="150" w:line="276" w:lineRule="auto"/>
        <w:rPr>
          <w:rFonts w:ascii="Arial" w:hAnsi="Arial" w:cs="Arial"/>
          <w:color w:val="000000"/>
          <w:lang w:val="sr-Latn-RS"/>
        </w:rPr>
      </w:pPr>
      <w:r>
        <w:rPr>
          <w:rFonts w:ascii="Arial" w:hAnsi="Arial" w:cs="Arial"/>
          <w:color w:val="000000"/>
          <w:lang w:val="sr-Cyrl-RS"/>
        </w:rPr>
        <w:t>Извор: Архива ”</w:t>
      </w:r>
      <w:r>
        <w:rPr>
          <w:rFonts w:ascii="Arial" w:hAnsi="Arial" w:cs="Arial"/>
          <w:color w:val="000000"/>
          <w:lang w:val="sr-Latn-RS"/>
        </w:rPr>
        <w:t>VTC“</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У близини старачког дома (бивши Хотел Трем налази се уређеним тереном за мале спортове (кошарка, одбојка, мали фудбал), такође на дестинацији постоје локални терени за фудбал који се морају уредити за организоване посете спортских клубова. Иако се дестинација налази у подножју Суве планине до сада није изграђена инфраструктура за зимске спортове, жичара, гондоле, обележене стазе за нордијско скијање итд. </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На дестинацији постоје дефинисане планинарске стазе (урађена делимична сигнализација/мора се урадити и на енглеском језику) са одмориштима, бицикл се може возити регионалним и локалним путевима који повезују села и места (не постоји бициклистичка сигнализација и уређених стаза). Не постоји систем за изнајмљивање бицикала на дестинацији, са овом услугом располажу компаније у Граду Нишу. </w:t>
      </w:r>
    </w:p>
    <w:p>
      <w:pPr>
        <w:spacing w:before="100" w:beforeAutospacing="1" w:after="150" w:line="276" w:lineRule="auto"/>
        <w:jc w:val="both"/>
        <w:rPr>
          <w:rFonts w:ascii="Arial" w:hAnsi="Arial" w:cs="Arial"/>
          <w:color w:val="000000" w:themeColor="text1"/>
          <w:lang w:val="sr-Cyrl-RS"/>
          <w14:textFill>
            <w14:solidFill>
              <w14:schemeClr w14:val="tx1"/>
            </w14:solidFill>
          </w14:textFill>
        </w:rPr>
      </w:pPr>
    </w:p>
    <w:p>
      <w:pPr>
        <w:spacing w:line="268" w:lineRule="auto"/>
        <w:ind w:right="20"/>
        <w:jc w:val="both"/>
        <w:rPr>
          <w:rFonts w:ascii="Arial" w:hAnsi="Arial" w:eastAsia="Arial" w:cs="Arial"/>
          <w:lang w:val="sr-Cyrl-RS"/>
        </w:rPr>
      </w:pPr>
    </w:p>
    <w:p>
      <w:pPr>
        <w:spacing w:line="0" w:lineRule="atLeast"/>
        <w:ind w:right="5"/>
        <w:jc w:val="center"/>
        <w:rPr>
          <w:rFonts w:ascii="Arial" w:hAnsi="Arial" w:cs="Arial"/>
          <w:lang w:val="sr-Cyrl-RS"/>
        </w:rPr>
        <w:sectPr>
          <w:pgSz w:w="11900" w:h="16840"/>
          <w:pgMar w:top="707" w:right="1440" w:bottom="551" w:left="1440" w:header="0" w:footer="0" w:gutter="0"/>
          <w:cols w:equalWidth="0" w:num="1">
            <w:col w:w="9025"/>
          </w:cols>
          <w:docGrid w:linePitch="360" w:charSpace="0"/>
        </w:sectPr>
      </w:pPr>
    </w:p>
    <w:p>
      <w:pPr>
        <w:spacing w:line="302" w:lineRule="exact"/>
        <w:rPr>
          <w:rFonts w:ascii="Arial" w:hAnsi="Arial" w:cs="Arial"/>
          <w:lang w:val="sr-Cyrl-RS"/>
        </w:rPr>
      </w:pPr>
      <w:bookmarkStart w:id="55" w:name="page19"/>
      <w:bookmarkEnd w:id="55"/>
    </w:p>
    <w:p>
      <w:pPr>
        <w:pStyle w:val="3"/>
      </w:pPr>
      <w:bookmarkStart w:id="56" w:name="_Toc159226523"/>
      <w:bookmarkStart w:id="57" w:name="_Toc144818244"/>
      <w:r>
        <w:rPr>
          <w:rFonts w:eastAsia="Arial"/>
        </w:rPr>
        <w:t>4.4. Степен привредног развоја општине Гаџин Хан</w:t>
      </w:r>
      <w:bookmarkEnd w:id="56"/>
      <w:bookmarkEnd w:id="57"/>
    </w:p>
    <w:p>
      <w:pPr>
        <w:spacing w:line="245" w:lineRule="exact"/>
        <w:rPr>
          <w:rFonts w:ascii="Arial" w:hAnsi="Arial" w:cs="Arial"/>
          <w:lang w:val="sr-Cyrl-RS"/>
        </w:rPr>
      </w:pPr>
    </w:p>
    <w:p>
      <w:pPr>
        <w:spacing w:line="238" w:lineRule="auto"/>
        <w:jc w:val="both"/>
        <w:rPr>
          <w:rFonts w:ascii="Arial" w:hAnsi="Arial" w:eastAsia="Arial" w:cs="Arial"/>
          <w:lang w:val="sr-Cyrl-RS"/>
        </w:rPr>
      </w:pPr>
      <w:r>
        <w:rPr>
          <w:rFonts w:ascii="Arial" w:hAnsi="Arial" w:eastAsia="Arial" w:cs="Arial"/>
          <w:lang w:val="sr-Cyrl-RS"/>
        </w:rPr>
        <w:t>Према степену развијености јединица локалних самоуправа општина Гаџин Хан спада у четврту групу чини 46 изразито недовољно развијених јединица локалних самоуправа чији је степен развијености испод 60 % републичког просека.</w:t>
      </w:r>
    </w:p>
    <w:p>
      <w:pPr>
        <w:spacing w:line="286" w:lineRule="exact"/>
        <w:rPr>
          <w:rFonts w:ascii="Arial" w:hAnsi="Arial" w:cs="Arial"/>
          <w:lang w:val="sr-Cyrl-RS"/>
        </w:rPr>
      </w:pPr>
    </w:p>
    <w:p>
      <w:pPr>
        <w:spacing w:line="244" w:lineRule="auto"/>
        <w:jc w:val="both"/>
        <w:rPr>
          <w:rFonts w:ascii="Arial" w:hAnsi="Arial" w:eastAsia="Arial" w:cs="Arial"/>
          <w:vertAlign w:val="superscript"/>
          <w:lang w:val="sr-Cyrl-RS"/>
        </w:rPr>
      </w:pPr>
      <w:r>
        <w:rPr>
          <w:rFonts w:ascii="Arial" w:hAnsi="Arial" w:eastAsia="Arial" w:cs="Arial"/>
          <w:lang w:val="sr-Cyrl-RS"/>
        </w:rPr>
        <w:t>Према степену развијености девастирана подручја чини 27 јединица локалних самоуправа из четврте групе чији је степен развијености испод 50% републичког просека, и у овој групи се налазио Гаџин Хан од 2014. године</w:t>
      </w:r>
      <w:r>
        <w:rPr>
          <w:rFonts w:ascii="Arial" w:hAnsi="Arial" w:eastAsia="Arial" w:cs="Arial"/>
          <w:vertAlign w:val="superscript"/>
          <w:lang w:val="sr-Cyrl-RS"/>
        </w:rPr>
        <w:t>6</w:t>
      </w:r>
    </w:p>
    <w:p>
      <w:pPr>
        <w:spacing w:line="170" w:lineRule="exact"/>
        <w:rPr>
          <w:rFonts w:ascii="Arial" w:hAnsi="Arial" w:cs="Arial"/>
          <w:lang w:val="sr-Cyrl-RS"/>
        </w:rPr>
      </w:pPr>
    </w:p>
    <w:p>
      <w:pPr>
        <w:spacing w:line="238" w:lineRule="auto"/>
        <w:jc w:val="both"/>
        <w:rPr>
          <w:rFonts w:ascii="Arial" w:hAnsi="Arial" w:eastAsia="Arial" w:cs="Arial"/>
          <w:lang w:val="sr-Cyrl-RS"/>
        </w:rPr>
      </w:pPr>
      <w:r>
        <w:rPr>
          <w:rFonts w:ascii="Arial" w:hAnsi="Arial" w:eastAsia="Arial" w:cs="Arial"/>
          <w:lang w:val="sr-Cyrl-RS"/>
        </w:rPr>
        <w:t>Привреда на територији Општине Гаџиног Хана највећи свој развој и експанзију доживела је од 60 година XX века када се развија индустријска функција отварањем предузећа и градњом фабрика које су запошљавале преко 700 радника. У последњих 25 година већина ових предузећа је смањила производњу или знатно смањила број запослених након приватизације.</w:t>
      </w:r>
    </w:p>
    <w:p>
      <w:pPr>
        <w:spacing w:line="287" w:lineRule="exact"/>
        <w:rPr>
          <w:rFonts w:ascii="Arial" w:hAnsi="Arial" w:cs="Arial"/>
          <w:lang w:val="sr-Cyrl-RS"/>
        </w:rPr>
      </w:pPr>
    </w:p>
    <w:p>
      <w:pPr>
        <w:spacing w:line="237" w:lineRule="auto"/>
        <w:jc w:val="both"/>
        <w:rPr>
          <w:rFonts w:ascii="Arial" w:hAnsi="Arial" w:eastAsia="Arial" w:cs="Arial"/>
          <w:lang w:val="sr-Cyrl-RS"/>
        </w:rPr>
      </w:pPr>
      <w:r>
        <w:rPr>
          <w:rFonts w:ascii="Arial" w:hAnsi="Arial" w:eastAsia="Arial" w:cs="Arial"/>
          <w:lang w:val="sr-Cyrl-RS"/>
        </w:rPr>
        <w:t>Данас на територији послују предузећа, ЕЛИД – фабрика каблова и „Ресор“ – фабрика комуналне опреме у којим је запослено 150 радника и које чине окосницу привреде општине.</w:t>
      </w:r>
    </w:p>
    <w:p>
      <w:pPr>
        <w:spacing w:line="280" w:lineRule="exact"/>
        <w:rPr>
          <w:rFonts w:ascii="Arial" w:hAnsi="Arial" w:cs="Arial"/>
          <w:lang w:val="sr-Cyrl-RS"/>
        </w:rPr>
      </w:pPr>
    </w:p>
    <w:p>
      <w:pPr>
        <w:spacing w:line="0" w:lineRule="atLeast"/>
        <w:rPr>
          <w:rFonts w:ascii="Arial" w:hAnsi="Arial" w:eastAsia="Arial" w:cs="Arial"/>
          <w:vertAlign w:val="superscript"/>
          <w:lang w:val="sr-Cyrl-RS"/>
        </w:rPr>
      </w:pPr>
      <w:r>
        <w:rPr>
          <w:rFonts w:ascii="Arial" w:hAnsi="Arial" w:eastAsia="Arial" w:cs="Arial"/>
          <w:lang w:val="sr-Cyrl-RS"/>
        </w:rPr>
        <w:t>Активна привредна друштва и предузетници:</w:t>
      </w:r>
      <w:r>
        <w:rPr>
          <w:rFonts w:ascii="Arial" w:hAnsi="Arial" w:eastAsia="Arial" w:cs="Arial"/>
          <w:vertAlign w:val="superscript"/>
          <w:lang w:val="sr-Cyrl-RS"/>
        </w:rPr>
        <w:t>7</w:t>
      </w:r>
    </w:p>
    <w:p>
      <w:pPr>
        <w:spacing w:line="180" w:lineRule="exact"/>
        <w:rPr>
          <w:rFonts w:ascii="Arial" w:hAnsi="Arial" w:cs="Arial"/>
          <w:lang w:val="sr-Cyrl-RS"/>
        </w:rPr>
      </w:pPr>
    </w:p>
    <w:tbl>
      <w:tblPr>
        <w:tblStyle w:val="6"/>
        <w:tblW w:w="0" w:type="auto"/>
        <w:tblInd w:w="0" w:type="dxa"/>
        <w:tblLayout w:type="fixed"/>
        <w:tblCellMar>
          <w:top w:w="0" w:type="dxa"/>
          <w:left w:w="0" w:type="dxa"/>
          <w:bottom w:w="0" w:type="dxa"/>
          <w:right w:w="0" w:type="dxa"/>
        </w:tblCellMar>
      </w:tblPr>
      <w:tblGrid>
        <w:gridCol w:w="3360"/>
        <w:gridCol w:w="740"/>
        <w:gridCol w:w="840"/>
        <w:gridCol w:w="600"/>
      </w:tblGrid>
      <w:tr>
        <w:tblPrEx>
          <w:tblCellMar>
            <w:top w:w="0" w:type="dxa"/>
            <w:left w:w="0" w:type="dxa"/>
            <w:bottom w:w="0" w:type="dxa"/>
            <w:right w:w="0" w:type="dxa"/>
          </w:tblCellMar>
        </w:tblPrEx>
        <w:trPr>
          <w:trHeight w:val="276" w:hRule="atLeast"/>
        </w:trPr>
        <w:tc>
          <w:tcPr>
            <w:tcW w:w="3360" w:type="dxa"/>
            <w:shd w:val="clear" w:color="auto" w:fill="auto"/>
            <w:vAlign w:val="bottom"/>
          </w:tcPr>
          <w:p>
            <w:pPr>
              <w:spacing w:line="0" w:lineRule="atLeast"/>
              <w:rPr>
                <w:rFonts w:ascii="Arial" w:hAnsi="Arial" w:eastAsia="Arial" w:cs="Arial"/>
                <w:lang w:val="sr-Cyrl-RS"/>
              </w:rPr>
            </w:pPr>
            <w:r>
              <w:rPr>
                <w:rFonts w:ascii="Arial" w:hAnsi="Arial" w:eastAsia="Arial" w:cs="Arial"/>
                <w:lang w:val="sr-Cyrl-RS"/>
              </w:rPr>
              <w:t>Активна привредна друштва</w:t>
            </w:r>
          </w:p>
        </w:tc>
        <w:tc>
          <w:tcPr>
            <w:tcW w:w="740" w:type="dxa"/>
            <w:shd w:val="clear" w:color="auto" w:fill="auto"/>
            <w:vAlign w:val="bottom"/>
          </w:tcPr>
          <w:p>
            <w:pPr>
              <w:spacing w:line="0" w:lineRule="atLeast"/>
              <w:ind w:left="180"/>
              <w:rPr>
                <w:rFonts w:ascii="Arial" w:hAnsi="Arial" w:eastAsia="Arial" w:cs="Arial"/>
                <w:lang w:val="sr-Cyrl-RS"/>
              </w:rPr>
            </w:pPr>
            <w:r>
              <w:rPr>
                <w:rFonts w:ascii="Arial" w:hAnsi="Arial" w:eastAsia="Arial" w:cs="Arial"/>
                <w:lang w:val="sr-Cyrl-RS"/>
              </w:rPr>
              <w:t>80</w:t>
            </w:r>
          </w:p>
        </w:tc>
        <w:tc>
          <w:tcPr>
            <w:tcW w:w="840" w:type="dxa"/>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(2020</w:t>
            </w:r>
          </w:p>
        </w:tc>
        <w:tc>
          <w:tcPr>
            <w:tcW w:w="600" w:type="dxa"/>
            <w:shd w:val="clear" w:color="auto" w:fill="auto"/>
            <w:vAlign w:val="bottom"/>
          </w:tcPr>
          <w:p>
            <w:pPr>
              <w:spacing w:line="0" w:lineRule="atLeast"/>
              <w:ind w:left="60"/>
              <w:rPr>
                <w:rFonts w:ascii="Arial" w:hAnsi="Arial" w:eastAsia="Arial" w:cs="Arial"/>
                <w:w w:val="98"/>
                <w:lang w:val="sr-Cyrl-RS"/>
              </w:rPr>
            </w:pPr>
            <w:r>
              <w:rPr>
                <w:rFonts w:ascii="Arial" w:hAnsi="Arial" w:eastAsia="Arial" w:cs="Arial"/>
                <w:w w:val="98"/>
                <w:lang w:val="sr-Cyrl-RS"/>
              </w:rPr>
              <w:t>год.)</w:t>
            </w:r>
          </w:p>
        </w:tc>
      </w:tr>
      <w:tr>
        <w:tblPrEx>
          <w:tblCellMar>
            <w:top w:w="0" w:type="dxa"/>
            <w:left w:w="0" w:type="dxa"/>
            <w:bottom w:w="0" w:type="dxa"/>
            <w:right w:w="0" w:type="dxa"/>
          </w:tblCellMar>
        </w:tblPrEx>
        <w:trPr>
          <w:trHeight w:val="280" w:hRule="atLeast"/>
        </w:trPr>
        <w:tc>
          <w:tcPr>
            <w:tcW w:w="3360" w:type="dxa"/>
            <w:shd w:val="clear" w:color="auto" w:fill="auto"/>
            <w:vAlign w:val="bottom"/>
          </w:tcPr>
          <w:p>
            <w:pPr>
              <w:spacing w:line="0" w:lineRule="atLeast"/>
              <w:rPr>
                <w:rFonts w:ascii="Arial" w:hAnsi="Arial" w:eastAsia="Arial" w:cs="Arial"/>
                <w:lang w:val="sr-Cyrl-RS"/>
              </w:rPr>
            </w:pPr>
            <w:r>
              <w:rPr>
                <w:rFonts w:ascii="Arial" w:hAnsi="Arial" w:eastAsia="Arial" w:cs="Arial"/>
                <w:lang w:val="sr-Cyrl-RS"/>
              </w:rPr>
              <w:t>Активни предузетници</w:t>
            </w:r>
          </w:p>
        </w:tc>
        <w:tc>
          <w:tcPr>
            <w:tcW w:w="740" w:type="dxa"/>
            <w:shd w:val="clear" w:color="auto" w:fill="auto"/>
            <w:vAlign w:val="bottom"/>
          </w:tcPr>
          <w:p>
            <w:pPr>
              <w:spacing w:line="0" w:lineRule="atLeast"/>
              <w:ind w:left="180"/>
              <w:rPr>
                <w:rFonts w:ascii="Arial" w:hAnsi="Arial" w:eastAsia="Arial" w:cs="Arial"/>
                <w:lang w:val="sr-Cyrl-RS"/>
              </w:rPr>
            </w:pPr>
            <w:r>
              <w:rPr>
                <w:rFonts w:ascii="Arial" w:hAnsi="Arial" w:eastAsia="Arial" w:cs="Arial"/>
                <w:lang w:val="sr-Cyrl-RS"/>
              </w:rPr>
              <w:t>337</w:t>
            </w:r>
          </w:p>
        </w:tc>
        <w:tc>
          <w:tcPr>
            <w:tcW w:w="840" w:type="dxa"/>
            <w:shd w:val="clear" w:color="auto" w:fill="auto"/>
            <w:vAlign w:val="bottom"/>
          </w:tcPr>
          <w:p>
            <w:pPr>
              <w:spacing w:line="0" w:lineRule="atLeast"/>
              <w:jc w:val="right"/>
              <w:rPr>
                <w:rFonts w:ascii="Arial" w:hAnsi="Arial" w:eastAsia="Arial" w:cs="Arial"/>
                <w:lang w:val="sr-Cyrl-RS"/>
              </w:rPr>
            </w:pPr>
            <w:r>
              <w:rPr>
                <w:rFonts w:ascii="Arial" w:hAnsi="Arial" w:eastAsia="Arial" w:cs="Arial"/>
                <w:lang w:val="sr-Cyrl-RS"/>
              </w:rPr>
              <w:t>(2020</w:t>
            </w:r>
          </w:p>
        </w:tc>
        <w:tc>
          <w:tcPr>
            <w:tcW w:w="600" w:type="dxa"/>
            <w:shd w:val="clear" w:color="auto" w:fill="auto"/>
            <w:vAlign w:val="bottom"/>
          </w:tcPr>
          <w:p>
            <w:pPr>
              <w:spacing w:line="0" w:lineRule="atLeast"/>
              <w:ind w:left="60"/>
              <w:rPr>
                <w:rFonts w:ascii="Arial" w:hAnsi="Arial" w:eastAsia="Arial" w:cs="Arial"/>
                <w:w w:val="98"/>
                <w:lang w:val="sr-Cyrl-RS"/>
              </w:rPr>
            </w:pPr>
            <w:r>
              <w:rPr>
                <w:rFonts w:ascii="Arial" w:hAnsi="Arial" w:eastAsia="Arial" w:cs="Arial"/>
                <w:w w:val="98"/>
                <w:lang w:val="sr-Cyrl-RS"/>
              </w:rPr>
              <w:t>год.)</w:t>
            </w:r>
          </w:p>
        </w:tc>
      </w:tr>
    </w:tbl>
    <w:p>
      <w:pPr>
        <w:spacing w:line="285" w:lineRule="exact"/>
        <w:rPr>
          <w:rFonts w:ascii="Arial" w:hAnsi="Arial" w:cs="Arial"/>
          <w:lang w:val="sr-Cyrl-RS"/>
        </w:rPr>
      </w:pPr>
    </w:p>
    <w:p>
      <w:pPr>
        <w:spacing w:line="234" w:lineRule="auto"/>
        <w:jc w:val="both"/>
        <w:rPr>
          <w:rFonts w:ascii="Arial" w:hAnsi="Arial" w:eastAsia="Arial" w:cs="Arial"/>
          <w:lang w:val="sr-Cyrl-RS"/>
        </w:rPr>
      </w:pPr>
      <w:r>
        <w:rPr>
          <w:rFonts w:ascii="Arial" w:hAnsi="Arial" w:eastAsia="Arial" w:cs="Arial"/>
          <w:lang w:val="sr-Cyrl-RS"/>
        </w:rPr>
        <w:t>Економски развој општине Гаџин Хан првенствено је базиран на развоју МСП и предузетништва у области пољопривреде, туризма и прерађивачке делатности.</w:t>
      </w:r>
    </w:p>
    <w:p>
      <w:pPr>
        <w:spacing w:line="292" w:lineRule="exact"/>
        <w:rPr>
          <w:rFonts w:ascii="Arial" w:hAnsi="Arial" w:cs="Arial"/>
          <w:lang w:val="sr-Cyrl-RS"/>
        </w:rPr>
      </w:pPr>
    </w:p>
    <w:p>
      <w:pPr>
        <w:spacing w:line="244" w:lineRule="auto"/>
        <w:ind w:right="20"/>
        <w:rPr>
          <w:rFonts w:ascii="Arial" w:hAnsi="Arial" w:eastAsia="Arial" w:cs="Arial"/>
          <w:vertAlign w:val="superscript"/>
          <w:lang w:val="sr-Cyrl-RS"/>
        </w:rPr>
      </w:pPr>
      <w:r>
        <w:rPr>
          <w:rFonts w:ascii="Arial" w:hAnsi="Arial" w:eastAsia="Arial" w:cs="Arial"/>
          <w:lang w:val="sr-Cyrl-RS"/>
        </w:rPr>
        <w:t xml:space="preserve">Гаџин Хан по подацима о пољопривредним газдинствима закључно са 2018. годином постоји </w:t>
      </w:r>
      <w:r>
        <w:rPr>
          <w:rFonts w:ascii="Arial" w:hAnsi="Arial" w:eastAsia="Arial" w:cs="Arial"/>
          <w:b/>
          <w:lang w:val="sr-Cyrl-RS"/>
        </w:rPr>
        <w:t>2.181 пољпоривредно газинство</w:t>
      </w:r>
      <w:r>
        <w:rPr>
          <w:rFonts w:ascii="Arial" w:hAnsi="Arial" w:eastAsia="Arial" w:cs="Arial"/>
          <w:lang w:val="sr-Cyrl-RS"/>
        </w:rPr>
        <w:t>.</w:t>
      </w:r>
      <w:r>
        <w:rPr>
          <w:rFonts w:ascii="Arial" w:hAnsi="Arial" w:eastAsia="Arial" w:cs="Arial"/>
          <w:vertAlign w:val="superscript"/>
          <w:lang w:val="sr-Cyrl-RS"/>
        </w:rPr>
        <w:t>8</w:t>
      </w:r>
    </w:p>
    <w:p>
      <w:pPr>
        <w:spacing w:line="160"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Коришћено пољопривредно земљиште:</w:t>
      </w:r>
    </w:p>
    <w:p>
      <w:pPr>
        <w:spacing w:line="279"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Оранице и баште 2.362 ха</w:t>
      </w:r>
    </w:p>
    <w:p>
      <w:pPr>
        <w:spacing w:line="0" w:lineRule="atLeast"/>
        <w:rPr>
          <w:rFonts w:ascii="Arial" w:hAnsi="Arial" w:eastAsia="Arial" w:cs="Arial"/>
          <w:lang w:val="sr-Cyrl-RS"/>
        </w:rPr>
      </w:pPr>
      <w:r>
        <w:rPr>
          <w:rFonts w:ascii="Arial" w:hAnsi="Arial" w:eastAsia="Arial" w:cs="Arial"/>
          <w:lang w:val="sr-Cyrl-RS"/>
        </w:rPr>
        <w:t>Воћњаци 299 ха</w:t>
      </w:r>
    </w:p>
    <w:p>
      <w:pPr>
        <w:spacing w:line="238" w:lineRule="auto"/>
        <w:rPr>
          <w:rFonts w:ascii="Arial" w:hAnsi="Arial" w:eastAsia="Arial" w:cs="Arial"/>
          <w:lang w:val="sr-Cyrl-RS"/>
        </w:rPr>
      </w:pPr>
      <w:r>
        <w:rPr>
          <w:rFonts w:ascii="Arial" w:hAnsi="Arial" w:eastAsia="Arial" w:cs="Arial"/>
          <w:lang w:val="sr-Cyrl-RS"/>
        </w:rPr>
        <w:t>Виногради 43 ха</w:t>
      </w:r>
    </w:p>
    <w:p>
      <w:pPr>
        <w:spacing w:line="0" w:lineRule="atLeast"/>
        <w:rPr>
          <w:rFonts w:ascii="Arial" w:hAnsi="Arial" w:eastAsia="Arial" w:cs="Arial"/>
          <w:lang w:val="sr-Cyrl-RS"/>
        </w:rPr>
      </w:pPr>
      <w:r>
        <w:rPr>
          <w:rFonts w:ascii="Arial" w:hAnsi="Arial" w:eastAsia="Arial" w:cs="Arial"/>
          <w:lang w:val="sr-Cyrl-RS"/>
        </w:rPr>
        <w:t>Ливаде и пашњаци 1.601 ха</w:t>
      </w:r>
    </w:p>
    <w:p>
      <w:pPr>
        <w:spacing w:line="279"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Сточни фонд:</w:t>
      </w:r>
    </w:p>
    <w:p>
      <w:pPr>
        <w:spacing w:line="377"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Говеда 1.226</w:t>
      </w:r>
    </w:p>
    <w:p>
      <w:pPr>
        <w:spacing w:line="0" w:lineRule="atLeast"/>
        <w:rPr>
          <w:rFonts w:ascii="Arial" w:hAnsi="Arial" w:eastAsia="Arial" w:cs="Arial"/>
          <w:lang w:val="sr-Cyrl-RS"/>
        </w:rPr>
      </w:pPr>
      <w:r>
        <w:rPr>
          <w:rFonts w:ascii="Arial" w:hAnsi="Arial" w:eastAsia="Arial" w:cs="Arial"/>
          <w:lang w:val="sr-Cyrl-RS"/>
        </w:rPr>
        <w:t>Свиње 3.575</w:t>
      </w:r>
    </w:p>
    <w:p>
      <w:pPr>
        <w:spacing w:line="3" w:lineRule="exact"/>
        <w:rPr>
          <w:rFonts w:ascii="Arial" w:hAnsi="Arial" w:cs="Arial"/>
          <w:lang w:val="sr-Cyrl-RS"/>
        </w:rPr>
      </w:pPr>
    </w:p>
    <w:p>
      <w:pPr>
        <w:spacing w:line="0" w:lineRule="atLeast"/>
        <w:rPr>
          <w:rFonts w:ascii="Arial" w:hAnsi="Arial" w:eastAsia="Arial" w:cs="Arial"/>
          <w:lang w:val="sr-Cyrl-RS"/>
        </w:rPr>
      </w:pPr>
      <w:r>
        <w:rPr>
          <w:rFonts w:ascii="Arial" w:hAnsi="Arial" w:eastAsia="Arial" w:cs="Arial"/>
          <w:lang w:val="sr-Cyrl-RS"/>
        </w:rPr>
        <w:t>Овце 2.637</w:t>
      </w:r>
    </w:p>
    <w:p>
      <w:pPr>
        <w:spacing w:line="0" w:lineRule="atLeast"/>
        <w:rPr>
          <w:rFonts w:ascii="Arial" w:hAnsi="Arial" w:eastAsia="Arial" w:cs="Arial"/>
          <w:lang w:val="sr-Cyrl-RS"/>
        </w:rPr>
      </w:pPr>
      <w:r>
        <w:rPr>
          <w:rFonts w:ascii="Arial" w:hAnsi="Arial" w:eastAsia="Arial" w:cs="Arial"/>
          <w:lang w:val="sr-Cyrl-RS"/>
        </w:rPr>
        <w:t>Живина 39.553</w:t>
      </w:r>
    </w:p>
    <w:p>
      <w:pPr>
        <w:spacing w:line="0" w:lineRule="atLeast"/>
        <w:rPr>
          <w:rFonts w:ascii="Arial" w:hAnsi="Arial" w:eastAsia="Arial" w:cs="Arial"/>
          <w:lang w:val="sr-Cyrl-RS"/>
        </w:rPr>
      </w:pPr>
    </w:p>
    <w:p>
      <w:pPr>
        <w:spacing w:line="0" w:lineRule="atLeast"/>
        <w:rPr>
          <w:rFonts w:ascii="Arial" w:hAnsi="Arial" w:eastAsia="Arial" w:cs="Arial"/>
          <w:lang w:val="sr-Cyrl-RS"/>
        </w:rPr>
      </w:pPr>
    </w:p>
    <w:p>
      <w:pPr>
        <w:spacing w:line="20" w:lineRule="exact"/>
        <w:rPr>
          <w:rFonts w:ascii="Arial" w:hAnsi="Arial" w:cs="Arial"/>
          <w:lang w:val="sr-Cyrl-RS"/>
        </w:rPr>
      </w:pPr>
      <w:r>
        <w:rPr>
          <w:rFonts w:ascii="Arial" w:hAnsi="Arial" w:cs="Arial"/>
          <w:lang w:eastAsia="en-US"/>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275590</wp:posOffset>
                </wp:positionV>
                <wp:extent cx="1830070" cy="0"/>
                <wp:effectExtent l="0" t="0" r="0" b="0"/>
                <wp:wrapNone/>
                <wp:docPr id="305905959" name="Straight Connector 49"/>
                <wp:cNvGraphicFramePr/>
                <a:graphic xmlns:a="http://schemas.openxmlformats.org/drawingml/2006/main">
                  <a:graphicData uri="http://schemas.microsoft.com/office/word/2010/wordprocessingShape">
                    <wps:wsp>
                      <wps:cNvCnPr/>
                      <wps:spPr bwMode="auto">
                        <a:xfrm>
                          <a:off x="0" y="0"/>
                          <a:ext cx="1830070" cy="0"/>
                        </a:xfrm>
                        <a:prstGeom prst="line">
                          <a:avLst/>
                        </a:prstGeom>
                        <a:noFill/>
                        <a:ln w="6350">
                          <a:solidFill>
                            <a:srgbClr val="000000"/>
                          </a:solidFill>
                          <a:round/>
                        </a:ln>
                      </wps:spPr>
                      <wps:bodyPr/>
                    </wps:wsp>
                  </a:graphicData>
                </a:graphic>
              </wp:anchor>
            </w:drawing>
          </mc:Choice>
          <mc:Fallback>
            <w:pict>
              <v:line id="Straight Connector 49" o:spid="_x0000_s1026" o:spt="20" style="position:absolute;left:0pt;margin-left:0pt;margin-top:21.7pt;height:0pt;width:144.1pt;z-index:-251652096;mso-width-relative:page;mso-height-relative:page;" filled="f" stroked="t" coordsize="21600,21600" o:gfxdata="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NRGbTAAAABgEAAA8AAAAAAAAAAQAgAAAAIgAAAGRycy9kb3ducmV2LnhtbFBLAQIU&#10;ABQAAAAIAIdO4kDr7LqRvwEAAIQDAAAOAAAAAAAAAAEAIAAAACIBAABkcnMvZTJvRG9jLnhtbFBL&#10;BQYAAAAABgAGAFkBAABTBQAAAAA=&#10;">
                <v:fill on="f" focussize="0,0"/>
                <v:stroke weight="0.5pt" color="#000000" joinstyle="round"/>
                <v:imagedata o:title=""/>
                <o:lock v:ext="edit" aspectratio="f"/>
              </v:line>
            </w:pict>
          </mc:Fallback>
        </mc:AlternateContent>
      </w:r>
    </w:p>
    <w:p>
      <w:pPr>
        <w:numPr>
          <w:ilvl w:val="0"/>
          <w:numId w:val="16"/>
        </w:numPr>
        <w:tabs>
          <w:tab w:val="left" w:pos="120"/>
        </w:tabs>
        <w:spacing w:line="0" w:lineRule="atLeast"/>
        <w:ind w:left="120" w:hanging="119"/>
        <w:rPr>
          <w:rFonts w:ascii="Arial" w:hAnsi="Arial" w:cs="Arial"/>
          <w:sz w:val="20"/>
          <w:szCs w:val="20"/>
          <w:lang w:val="sr-Cyrl-RS"/>
        </w:rPr>
      </w:pPr>
      <w:r>
        <w:rPr>
          <w:rFonts w:ascii="Arial" w:hAnsi="Arial" w:cs="Arial"/>
          <w:sz w:val="20"/>
          <w:szCs w:val="20"/>
          <w:lang w:val="sr-Cyrl-RS"/>
        </w:rPr>
        <w:t>Регионални развој</w:t>
      </w:r>
      <w:r>
        <w:rPr>
          <w:rFonts w:ascii="Arial" w:hAnsi="Arial" w:cs="Arial"/>
          <w:color w:val="0000FF"/>
          <w:sz w:val="20"/>
          <w:szCs w:val="20"/>
          <w:lang w:val="sr-Cyrl-RS"/>
        </w:rPr>
        <w:t xml:space="preserve"> </w:t>
      </w:r>
      <w:r>
        <w:fldChar w:fldCharType="begin"/>
      </w:r>
      <w:r>
        <w:instrText xml:space="preserve"> HYPERLINK "https://www.regionalnirazvoj.gov.rs/Lat/ShowNARRFolder.aspx?mi=171" </w:instrText>
      </w:r>
      <w:r>
        <w:fldChar w:fldCharType="separate"/>
      </w:r>
      <w:r>
        <w:rPr>
          <w:rFonts w:ascii="Arial" w:hAnsi="Arial" w:cs="Arial"/>
          <w:color w:val="0000FF"/>
          <w:sz w:val="20"/>
          <w:szCs w:val="20"/>
          <w:u w:val="single"/>
          <w:lang w:val="sr-Cyrl-RS"/>
        </w:rPr>
        <w:t>https://www.regionalnirazvoj.gov.rs/Lat/ShowNARRFolder.aspx?mi=171</w:t>
      </w:r>
      <w:r>
        <w:rPr>
          <w:rFonts w:ascii="Arial" w:hAnsi="Arial" w:cs="Arial"/>
          <w:color w:val="0000FF"/>
          <w:sz w:val="20"/>
          <w:szCs w:val="20"/>
          <w:u w:val="single"/>
          <w:lang w:val="sr-Cyrl-RS"/>
        </w:rPr>
        <w:fldChar w:fldCharType="end"/>
      </w:r>
    </w:p>
    <w:p>
      <w:pPr>
        <w:spacing w:line="18" w:lineRule="exact"/>
        <w:rPr>
          <w:rFonts w:ascii="Arial" w:hAnsi="Arial" w:cs="Arial"/>
          <w:sz w:val="20"/>
          <w:szCs w:val="20"/>
          <w:lang w:val="sr-Cyrl-RS"/>
        </w:rPr>
      </w:pPr>
    </w:p>
    <w:p>
      <w:pPr>
        <w:numPr>
          <w:ilvl w:val="0"/>
          <w:numId w:val="16"/>
        </w:numPr>
        <w:tabs>
          <w:tab w:val="left" w:pos="120"/>
        </w:tabs>
        <w:spacing w:line="184" w:lineRule="auto"/>
        <w:ind w:left="120" w:hanging="119"/>
        <w:rPr>
          <w:rFonts w:ascii="Arial" w:hAnsi="Arial" w:cs="Arial"/>
          <w:sz w:val="20"/>
          <w:szCs w:val="20"/>
          <w:vertAlign w:val="superscript"/>
          <w:lang w:val="sr-Cyrl-RS"/>
        </w:rPr>
      </w:pPr>
      <w:r>
        <w:rPr>
          <w:rFonts w:ascii="Arial" w:hAnsi="Arial" w:cs="Arial"/>
          <w:sz w:val="20"/>
          <w:szCs w:val="20"/>
          <w:lang w:val="sr-Cyrl-RS"/>
        </w:rPr>
        <w:t>Агенција за привредене регистре</w:t>
      </w:r>
    </w:p>
    <w:p>
      <w:pPr>
        <w:spacing w:line="18" w:lineRule="exact"/>
        <w:rPr>
          <w:rFonts w:ascii="Arial" w:hAnsi="Arial" w:cs="Arial"/>
          <w:sz w:val="20"/>
          <w:szCs w:val="20"/>
          <w:vertAlign w:val="superscript"/>
          <w:lang w:val="sr-Cyrl-RS"/>
        </w:rPr>
      </w:pPr>
    </w:p>
    <w:p>
      <w:pPr>
        <w:numPr>
          <w:ilvl w:val="0"/>
          <w:numId w:val="16"/>
        </w:numPr>
        <w:tabs>
          <w:tab w:val="left" w:pos="115"/>
        </w:tabs>
        <w:spacing w:line="229" w:lineRule="auto"/>
        <w:ind w:right="120" w:firstLine="1"/>
        <w:rPr>
          <w:rFonts w:ascii="Arial" w:hAnsi="Arial" w:cs="Arial"/>
          <w:sz w:val="20"/>
          <w:szCs w:val="20"/>
          <w:vertAlign w:val="superscript"/>
          <w:lang w:val="sr-Cyrl-RS"/>
        </w:rPr>
      </w:pPr>
      <w:r>
        <w:rPr>
          <w:rFonts w:ascii="Arial" w:hAnsi="Arial" w:cs="Arial"/>
          <w:sz w:val="20"/>
          <w:szCs w:val="20"/>
          <w:lang w:val="sr-Cyrl-RS"/>
        </w:rPr>
        <w:t xml:space="preserve">Привредна кретања на територији Регионалне привредне коморе Нишавског, Пиротског и Топличког управног округа, Привредна комора Србије , фебруар 2022. https://api.pks.rs/storage/assets/Privredna%20kretanja%20RPK%20Nišavskog%20Pirotskog%20i%20Topličko g%20okruga%20-%20februar%202022.pdf </w:t>
      </w:r>
    </w:p>
    <w:p>
      <w:pPr>
        <w:spacing w:line="49" w:lineRule="exact"/>
        <w:rPr>
          <w:rFonts w:ascii="Arial" w:hAnsi="Arial" w:cs="Arial"/>
          <w:lang w:val="sr-Cyrl-RS"/>
        </w:rPr>
      </w:pPr>
    </w:p>
    <w:p>
      <w:pPr>
        <w:spacing w:line="200" w:lineRule="exact"/>
        <w:rPr>
          <w:rFonts w:ascii="Arial" w:hAnsi="Arial" w:cs="Arial"/>
          <w:lang w:val="sr-Cyrl-RS"/>
        </w:rPr>
      </w:pPr>
      <w:bookmarkStart w:id="58" w:name="page20"/>
      <w:bookmarkEnd w:id="58"/>
    </w:p>
    <w:p>
      <w:pPr>
        <w:spacing w:line="200" w:lineRule="exact"/>
        <w:rPr>
          <w:rFonts w:ascii="Arial" w:hAnsi="Arial" w:cs="Arial"/>
          <w:lang w:val="sr-Cyrl-RS"/>
        </w:rPr>
      </w:pPr>
    </w:p>
    <w:p>
      <w:pPr>
        <w:spacing w:line="200" w:lineRule="exact"/>
        <w:rPr>
          <w:rFonts w:ascii="Arial" w:hAnsi="Arial" w:cs="Arial"/>
          <w:lang w:val="sr-Cyrl-RS"/>
        </w:rPr>
      </w:pPr>
    </w:p>
    <w:p>
      <w:pPr>
        <w:spacing w:line="276" w:lineRule="auto"/>
        <w:ind w:right="20"/>
        <w:jc w:val="both"/>
        <w:rPr>
          <w:rFonts w:ascii="Arial" w:hAnsi="Arial" w:eastAsia="Arial" w:cs="Arial"/>
          <w:lang w:val="sr-Cyrl-RS"/>
        </w:rPr>
      </w:pPr>
      <w:r>
        <w:rPr>
          <w:rFonts w:ascii="Arial" w:hAnsi="Arial" w:eastAsia="Arial" w:cs="Arial"/>
          <w:lang w:val="sr-Cyrl-RS"/>
        </w:rPr>
        <w:t>За разлику од неких делова Србије где су се отворили озбиљнији инвестициони процеси на пољу пољопривреде и туризма, у Општини Гаџин Хан се није појавио/појавили јаки субјекти с претензијама ширења и развоја значајније пољопривредне, туристичке и/или хотелске гране привреде.</w:t>
      </w:r>
    </w:p>
    <w:p>
      <w:pPr>
        <w:spacing w:line="286" w:lineRule="exact"/>
        <w:rPr>
          <w:rFonts w:ascii="Arial" w:hAnsi="Arial" w:cs="Arial"/>
          <w:lang w:val="sr-Cyrl-RS"/>
        </w:rPr>
      </w:pPr>
    </w:p>
    <w:p>
      <w:pPr>
        <w:spacing w:line="269" w:lineRule="auto"/>
        <w:ind w:right="20"/>
        <w:jc w:val="both"/>
        <w:rPr>
          <w:rFonts w:ascii="Arial" w:hAnsi="Arial" w:eastAsia="Arial" w:cs="Arial"/>
          <w:lang w:val="sr-Cyrl-RS"/>
        </w:rPr>
      </w:pPr>
      <w:r>
        <w:rPr>
          <w:rFonts w:ascii="Arial" w:hAnsi="Arial" w:eastAsia="Arial" w:cs="Arial"/>
          <w:lang w:val="sr-Cyrl-RS"/>
        </w:rPr>
        <w:t>Према томе, на овом подручју, нема значајнијих малих и средњих предузећа, како у пољопривреди тако и у туризму, који би могли покренути развој овог подручјa Као индикатори социо-економске структуре становништва могу се узети економска активност и делатност становништва.</w:t>
      </w:r>
    </w:p>
    <w:p>
      <w:pPr>
        <w:spacing w:line="137" w:lineRule="exact"/>
        <w:rPr>
          <w:rFonts w:ascii="Arial" w:hAnsi="Arial" w:cs="Arial"/>
          <w:lang w:val="sr-Cyrl-RS"/>
        </w:rPr>
      </w:pPr>
    </w:p>
    <w:p>
      <w:pPr>
        <w:spacing w:line="274" w:lineRule="auto"/>
        <w:jc w:val="both"/>
        <w:rPr>
          <w:rFonts w:ascii="Arial" w:hAnsi="Arial" w:eastAsia="Arial" w:cs="Arial"/>
          <w:lang w:val="sr-Cyrl-RS"/>
        </w:rPr>
      </w:pPr>
      <w:r>
        <w:rPr>
          <w:rFonts w:ascii="Arial" w:hAnsi="Arial" w:eastAsia="Arial" w:cs="Arial"/>
          <w:lang w:val="sr-Cyrl-RS"/>
        </w:rPr>
        <w:t>Критична маса активног становништва износи 64%, учешће пољопривредног становништва у односу на укупно становништво 45,7% (3 пута више од републичког просека), док његов активни део достиже 88,6%. Незапослено је 1252 лица од тога 620 жена, неписменог становништва је 19%. Пољопривредно земљиште је најобимнији ресурс, простире се на 18373 хектара (56,5% укупне површине). Оранице и баште простиру се на 53% пољопривредног земљишта, воћњаци заузимају 7,2%, виногради 2,6%, ливаде 10%, пашњаци 27,2%. Индивидуални сектор располаже са 84% укупног пољопривредног земљишта (Извор: Општина Гаџин Хан )</w:t>
      </w:r>
    </w:p>
    <w:p>
      <w:pPr>
        <w:spacing w:line="25" w:lineRule="exact"/>
        <w:rPr>
          <w:rFonts w:ascii="Arial" w:hAnsi="Arial" w:cs="Arial"/>
          <w:lang w:val="sr-Cyrl-RS"/>
        </w:rPr>
      </w:pPr>
    </w:p>
    <w:p>
      <w:pPr>
        <w:spacing w:line="273" w:lineRule="auto"/>
        <w:ind w:right="20"/>
        <w:jc w:val="both"/>
        <w:rPr>
          <w:rFonts w:ascii="Arial" w:hAnsi="Arial" w:eastAsia="Arial" w:cs="Arial"/>
          <w:lang w:val="sr-Cyrl-RS"/>
        </w:rPr>
      </w:pPr>
      <w:r>
        <w:rPr>
          <w:rFonts w:ascii="Arial" w:hAnsi="Arial" w:eastAsia="Arial" w:cs="Arial"/>
          <w:lang w:val="sr-Cyrl-RS"/>
        </w:rPr>
        <w:t xml:space="preserve">Мештани села </w:t>
      </w:r>
      <w:r>
        <w:fldChar w:fldCharType="begin"/>
      </w:r>
      <w:r>
        <w:instrText xml:space="preserve"> HYPERLINK "https://sr.m.wikipedia.org/wiki/%D0%9C%D0%B0%D0%BB%D0%B8_%D0%9A%D1%80%D1%87%D0%B8%D0%BC%D0%B8%D1%80" </w:instrText>
      </w:r>
      <w:r>
        <w:fldChar w:fldCharType="separate"/>
      </w:r>
      <w:r>
        <w:rPr>
          <w:rFonts w:ascii="Arial" w:hAnsi="Arial" w:eastAsia="Arial" w:cs="Arial"/>
          <w:lang w:val="sr-Cyrl-RS"/>
        </w:rPr>
        <w:t>Мали Крчимир</w:t>
      </w:r>
      <w:r>
        <w:rPr>
          <w:rFonts w:ascii="Arial" w:hAnsi="Arial" w:eastAsia="Arial" w:cs="Arial"/>
          <w:lang w:val="sr-Cyrl-RS"/>
        </w:rPr>
        <w:fldChar w:fldCharType="end"/>
      </w:r>
      <w:r>
        <w:rPr>
          <w:rFonts w:ascii="Arial" w:hAnsi="Arial" w:eastAsia="Arial" w:cs="Arial"/>
          <w:lang w:val="sr-Cyrl-RS"/>
        </w:rPr>
        <w:t>, једни се на овом делу планине, поред пољопривреде масовније баве и печењем креча у пољским кречанама, док је у осталим селима Заплања она у изумирању. У 2014. години највише кречних пећи регистровано је у Малом Крчимиру, десет, по две су остале у Сопотинцима и Горњем Душнику, док су у Ћелијама, Миљковцу и Доњем Душнику преживеле тек по једна.</w:t>
      </w:r>
    </w:p>
    <w:p>
      <w:pPr>
        <w:spacing w:line="17" w:lineRule="exact"/>
        <w:rPr>
          <w:rFonts w:ascii="Arial" w:hAnsi="Arial" w:cs="Arial"/>
          <w:lang w:val="sr-Cyrl-RS"/>
        </w:rPr>
      </w:pPr>
    </w:p>
    <w:p>
      <w:pPr>
        <w:spacing w:line="269" w:lineRule="auto"/>
        <w:jc w:val="both"/>
        <w:rPr>
          <w:rFonts w:ascii="Arial" w:hAnsi="Arial" w:eastAsia="Arial" w:cs="Arial"/>
          <w:lang w:val="sr-Cyrl-RS"/>
        </w:rPr>
      </w:pPr>
      <w:r>
        <w:rPr>
          <w:rFonts w:ascii="Arial" w:hAnsi="Arial" w:eastAsia="Arial" w:cs="Arial"/>
          <w:lang w:val="sr-Cyrl-RS"/>
        </w:rPr>
        <w:t xml:space="preserve">Однедавно мештани села </w:t>
      </w:r>
      <w:r>
        <w:fldChar w:fldCharType="begin"/>
      </w:r>
      <w:r>
        <w:instrText xml:space="preserve"> HYPERLINK "https://sr.m.wikipedia.org/wiki/%D0%93%D0%BE%D1%80%D1%9A%D0%B8_%D0%94%D1%83%D1%88%D0%BD%D0%B8%D0%BA" </w:instrText>
      </w:r>
      <w:r>
        <w:fldChar w:fldCharType="separate"/>
      </w:r>
      <w:r>
        <w:rPr>
          <w:rFonts w:ascii="Arial" w:hAnsi="Arial" w:eastAsia="Arial" w:cs="Arial"/>
          <w:lang w:val="sr-Cyrl-RS"/>
        </w:rPr>
        <w:t xml:space="preserve">Горњи Душник </w:t>
      </w:r>
      <w:r>
        <w:rPr>
          <w:rFonts w:ascii="Arial" w:hAnsi="Arial" w:eastAsia="Arial" w:cs="Arial"/>
          <w:lang w:val="sr-Cyrl-RS"/>
        </w:rPr>
        <w:fldChar w:fldCharType="end"/>
      </w:r>
      <w:r>
        <w:rPr>
          <w:rFonts w:ascii="Arial" w:hAnsi="Arial" w:eastAsia="Arial" w:cs="Arial"/>
          <w:lang w:val="sr-Cyrl-RS"/>
        </w:rPr>
        <w:t xml:space="preserve">баве се рибарством у првом установљеном рибњаку за узгој </w:t>
      </w:r>
      <w:r>
        <w:fldChar w:fldCharType="begin"/>
      </w:r>
      <w:r>
        <w:instrText xml:space="preserve"> HYPERLINK "https://sr.m.wikipedia.org/wiki/%D0%9F%D0%B0%D1%81%D1%82%D1%80%D0%BC%D0%BA%D0%B0" </w:instrText>
      </w:r>
      <w:r>
        <w:fldChar w:fldCharType="separate"/>
      </w:r>
      <w:r>
        <w:rPr>
          <w:rFonts w:ascii="Arial" w:hAnsi="Arial" w:eastAsia="Arial" w:cs="Arial"/>
          <w:lang w:val="sr-Cyrl-RS"/>
        </w:rPr>
        <w:t>пастрмке</w:t>
      </w:r>
      <w:r>
        <w:rPr>
          <w:rFonts w:ascii="Arial" w:hAnsi="Arial" w:eastAsia="Arial" w:cs="Arial"/>
          <w:lang w:val="sr-Cyrl-RS"/>
        </w:rPr>
        <w:fldChar w:fldCharType="end"/>
      </w:r>
      <w:r>
        <w:rPr>
          <w:rFonts w:ascii="Arial" w:hAnsi="Arial" w:eastAsia="Arial" w:cs="Arial"/>
          <w:lang w:val="sr-Cyrl-RS"/>
        </w:rPr>
        <w:t>.</w:t>
      </w:r>
    </w:p>
    <w:p>
      <w:pPr>
        <w:spacing w:line="269" w:lineRule="auto"/>
        <w:jc w:val="both"/>
        <w:rPr>
          <w:rFonts w:ascii="Arial" w:hAnsi="Arial" w:eastAsia="Arial" w:cs="Arial"/>
          <w:lang w:val="sr-Cyrl-RS"/>
        </w:rPr>
      </w:pPr>
    </w:p>
    <w:p>
      <w:pPr>
        <w:spacing w:line="264" w:lineRule="auto"/>
        <w:jc w:val="both"/>
        <w:rPr>
          <w:rFonts w:ascii="Arial" w:hAnsi="Arial" w:eastAsia="Arial" w:cs="Arial"/>
          <w:lang w:val="sr-Cyrl-RS"/>
        </w:rPr>
      </w:pPr>
      <w:r>
        <w:rPr>
          <w:rFonts w:ascii="Arial" w:hAnsi="Arial" w:eastAsia="Arial" w:cs="Arial"/>
          <w:lang w:val="sr-Cyrl-RS"/>
        </w:rPr>
        <w:t xml:space="preserve">Терцијални сектор привреде је слабо развијен </w:t>
      </w:r>
      <w:r>
        <w:fldChar w:fldCharType="begin"/>
      </w:r>
      <w:r>
        <w:instrText xml:space="preserve"> HYPERLINK "https://sr.m.wikipedia.org/wiki/%D0%A2%D1%80%D0%B3%D0%BE%D0%B2%D0%B8%D0%BD%D0%B0" </w:instrText>
      </w:r>
      <w:r>
        <w:fldChar w:fldCharType="separate"/>
      </w:r>
      <w:r>
        <w:rPr>
          <w:rFonts w:ascii="Arial" w:hAnsi="Arial" w:eastAsia="Arial" w:cs="Arial"/>
          <w:lang w:val="sr-Cyrl-RS"/>
        </w:rPr>
        <w:t>(трговина</w:t>
      </w:r>
      <w:r>
        <w:rPr>
          <w:rFonts w:ascii="Arial" w:hAnsi="Arial" w:eastAsia="Arial" w:cs="Arial"/>
          <w:lang w:val="sr-Cyrl-RS"/>
        </w:rPr>
        <w:fldChar w:fldCharType="end"/>
      </w:r>
      <w:r>
        <w:rPr>
          <w:rFonts w:ascii="Arial" w:hAnsi="Arial" w:eastAsia="Arial" w:cs="Arial"/>
          <w:lang w:val="sr-Cyrl-RS"/>
        </w:rPr>
        <w:t xml:space="preserve">, </w:t>
      </w:r>
      <w:r>
        <w:fldChar w:fldCharType="begin"/>
      </w:r>
      <w:r>
        <w:instrText xml:space="preserve"> HYPERLINK "https://sr.m.wikipedia.org/wiki/%D0%A3%D0%B3%D0%BE%D1%81%D1%82%D0%B8%D1%82%D0%B5%D1%99%D1%81%D1%82%D0%B2%D0%BE" </w:instrText>
      </w:r>
      <w:r>
        <w:fldChar w:fldCharType="separate"/>
      </w:r>
      <w:r>
        <w:rPr>
          <w:rFonts w:ascii="Arial" w:hAnsi="Arial" w:eastAsia="Arial" w:cs="Arial"/>
          <w:lang w:val="sr-Cyrl-RS"/>
        </w:rPr>
        <w:t>угоститељство</w:t>
      </w:r>
      <w:r>
        <w:rPr>
          <w:rFonts w:ascii="Arial" w:hAnsi="Arial" w:eastAsia="Arial" w:cs="Arial"/>
          <w:lang w:val="sr-Cyrl-RS"/>
        </w:rPr>
        <w:fldChar w:fldCharType="end"/>
      </w:r>
      <w:r>
        <w:rPr>
          <w:rFonts w:ascii="Arial" w:hAnsi="Arial" w:eastAsia="Arial" w:cs="Arial"/>
          <w:lang w:val="sr-Cyrl-RS"/>
        </w:rPr>
        <w:t xml:space="preserve">, </w:t>
      </w:r>
      <w:r>
        <w:fldChar w:fldCharType="begin"/>
      </w:r>
      <w:r>
        <w:instrText xml:space="preserve"> HYPERLINK "https://sr.m.wikipedia.org/wiki/%D0%A2%D1%83%D1%80%D0%B8%D0%B7%D0%B0%D0%BC" </w:instrText>
      </w:r>
      <w:r>
        <w:fldChar w:fldCharType="separate"/>
      </w:r>
      <w:r>
        <w:rPr>
          <w:rFonts w:ascii="Arial" w:hAnsi="Arial" w:eastAsia="Arial" w:cs="Arial"/>
          <w:lang w:val="sr-Cyrl-RS"/>
        </w:rPr>
        <w:t xml:space="preserve">туризам </w:t>
      </w:r>
      <w:r>
        <w:rPr>
          <w:rFonts w:ascii="Arial" w:hAnsi="Arial" w:eastAsia="Arial" w:cs="Arial"/>
          <w:lang w:val="sr-Cyrl-RS"/>
        </w:rPr>
        <w:fldChar w:fldCharType="end"/>
      </w:r>
      <w:r>
        <w:rPr>
          <w:rFonts w:ascii="Arial" w:hAnsi="Arial" w:eastAsia="Arial" w:cs="Arial"/>
          <w:lang w:val="sr-Cyrl-RS"/>
        </w:rPr>
        <w:t xml:space="preserve">и </w:t>
      </w:r>
      <w:r>
        <w:fldChar w:fldCharType="begin"/>
      </w:r>
      <w:r>
        <w:instrText xml:space="preserve"> HYPERLINK "https://sr.m.wikipedia.org/wiki/%D0%A1%D0%B0%D0%BE%D0%B1%D1%80%D0%B0%D1%9B%D0%B0%D1%98" </w:instrText>
      </w:r>
      <w:r>
        <w:fldChar w:fldCharType="separate"/>
      </w:r>
      <w:r>
        <w:rPr>
          <w:rFonts w:ascii="Arial" w:hAnsi="Arial" w:eastAsia="Arial" w:cs="Arial"/>
          <w:lang w:val="sr-Cyrl-RS"/>
        </w:rPr>
        <w:t>саобраћај</w:t>
      </w:r>
      <w:r>
        <w:rPr>
          <w:rFonts w:ascii="Arial" w:hAnsi="Arial" w:eastAsia="Arial" w:cs="Arial"/>
          <w:lang w:val="sr-Cyrl-RS"/>
        </w:rPr>
        <w:fldChar w:fldCharType="end"/>
      </w:r>
      <w:r>
        <w:rPr>
          <w:rFonts w:ascii="Arial" w:hAnsi="Arial" w:eastAsia="Arial" w:cs="Arial"/>
          <w:lang w:val="sr-Cyrl-RS"/>
        </w:rPr>
        <w:t>) .</w:t>
      </w:r>
    </w:p>
    <w:p>
      <w:pPr>
        <w:spacing w:line="148" w:lineRule="exact"/>
        <w:rPr>
          <w:rFonts w:ascii="Arial" w:hAnsi="Arial" w:eastAsia="Arial" w:cs="Arial"/>
          <w:lang w:val="sr-Cyrl-RS"/>
        </w:rPr>
      </w:pPr>
    </w:p>
    <w:p>
      <w:pPr>
        <w:spacing w:line="272" w:lineRule="auto"/>
        <w:ind w:right="20"/>
        <w:jc w:val="both"/>
        <w:rPr>
          <w:rFonts w:ascii="Arial" w:hAnsi="Arial" w:eastAsia="Arial" w:cs="Arial"/>
          <w:lang w:val="sr-Cyrl-RS"/>
        </w:rPr>
      </w:pPr>
      <w:r>
        <w:rPr>
          <w:rFonts w:ascii="Arial" w:hAnsi="Arial" w:eastAsia="Arial" w:cs="Arial"/>
          <w:lang w:val="sr-Cyrl-RS"/>
        </w:rPr>
        <w:t>Као посебна грана пољопривреде која у последње време све више добија на значају на подручју Суве планине, а у складу са режимима заштите животне средине и здравља је сакупљање лековитог биља (камилица, мајчина душица, кантарион, хајдучка трава и друго).</w:t>
      </w:r>
    </w:p>
    <w:p>
      <w:pPr>
        <w:spacing w:line="139" w:lineRule="exact"/>
        <w:rPr>
          <w:rFonts w:ascii="Arial" w:hAnsi="Arial" w:eastAsia="Arial" w:cs="Arial"/>
          <w:lang w:val="sr-Cyrl-RS"/>
        </w:rPr>
      </w:pPr>
    </w:p>
    <w:p>
      <w:pPr>
        <w:numPr>
          <w:ilvl w:val="0"/>
          <w:numId w:val="17"/>
        </w:numPr>
        <w:tabs>
          <w:tab w:val="left" w:pos="269"/>
        </w:tabs>
        <w:spacing w:line="264" w:lineRule="auto"/>
        <w:ind w:right="20" w:firstLine="1"/>
        <w:rPr>
          <w:rFonts w:ascii="Arial" w:hAnsi="Arial" w:eastAsia="Arial" w:cs="Arial"/>
          <w:lang w:val="sr-Cyrl-RS"/>
        </w:rPr>
      </w:pPr>
      <w:r>
        <w:rPr>
          <w:rFonts w:ascii="Arial" w:hAnsi="Arial" w:eastAsia="Arial" w:cs="Arial"/>
          <w:lang w:val="sr-Cyrl-RS"/>
        </w:rPr>
        <w:t>обзиром на очувану животну средину, Сува планина је погодна за органску пољопривредну производњу и одрживи, одговорни туризам.</w:t>
      </w:r>
    </w:p>
    <w:p>
      <w:pPr>
        <w:spacing w:line="28" w:lineRule="exact"/>
        <w:rPr>
          <w:rFonts w:ascii="Arial" w:hAnsi="Arial" w:eastAsia="Arial" w:cs="Arial"/>
          <w:lang w:val="sr-Cyrl-RS"/>
        </w:rPr>
      </w:pPr>
    </w:p>
    <w:p>
      <w:pPr>
        <w:spacing w:line="264" w:lineRule="auto"/>
        <w:rPr>
          <w:rFonts w:ascii="Arial" w:hAnsi="Arial" w:eastAsia="Arial" w:cs="Arial"/>
          <w:lang w:val="sr-Cyrl-RS"/>
        </w:rPr>
      </w:pPr>
      <w:r>
        <w:rPr>
          <w:rFonts w:ascii="Arial" w:hAnsi="Arial" w:eastAsia="Arial" w:cs="Arial"/>
          <w:lang w:val="sr-Cyrl-RS"/>
        </w:rPr>
        <w:t xml:space="preserve">Основни проблем је недостатак адекватно квалификоване радне снаге, као и перманентно смањивање радно способног становништва.  </w:t>
      </w:r>
    </w:p>
    <w:p>
      <w:pPr>
        <w:spacing w:line="264" w:lineRule="auto"/>
        <w:rPr>
          <w:rFonts w:ascii="Arial" w:hAnsi="Arial" w:eastAsia="Arial" w:cs="Arial"/>
          <w:lang w:val="sr-Cyrl-RS"/>
        </w:rPr>
      </w:pPr>
    </w:p>
    <w:p>
      <w:pPr>
        <w:spacing w:line="264" w:lineRule="auto"/>
        <w:rPr>
          <w:rFonts w:ascii="Arial" w:hAnsi="Arial" w:eastAsia="Arial" w:cs="Arial"/>
          <w:lang w:val="sr-Cyrl-RS"/>
        </w:rPr>
        <w:sectPr>
          <w:pgSz w:w="11900" w:h="16840"/>
          <w:pgMar w:top="707" w:right="1105" w:bottom="551" w:left="1440" w:header="0" w:footer="0" w:gutter="0"/>
          <w:cols w:equalWidth="0" w:num="1">
            <w:col w:w="9360"/>
          </w:cols>
          <w:docGrid w:linePitch="360" w:charSpace="0"/>
        </w:sectPr>
      </w:pPr>
    </w:p>
    <w:p>
      <w:pPr>
        <w:spacing w:line="0" w:lineRule="atLeast"/>
        <w:rPr>
          <w:rFonts w:ascii="Arial" w:hAnsi="Arial" w:cs="Arial"/>
          <w:lang w:val="sr-Cyrl-RS"/>
        </w:rPr>
        <w:sectPr>
          <w:pgSz w:w="11900" w:h="16840"/>
          <w:pgMar w:top="707" w:right="1425" w:bottom="551" w:left="1440" w:header="0" w:footer="0" w:gutter="0"/>
          <w:cols w:equalWidth="0" w:num="1">
            <w:col w:w="9040"/>
          </w:cols>
          <w:docGrid w:linePitch="360" w:charSpace="0"/>
        </w:sectPr>
      </w:pPr>
      <w:bookmarkStart w:id="59" w:name="page25"/>
      <w:bookmarkEnd w:id="59"/>
    </w:p>
    <w:p>
      <w:pPr>
        <w:pStyle w:val="2"/>
        <w:rPr>
          <w:rFonts w:ascii="Arial" w:hAnsi="Arial" w:cs="Arial"/>
          <w:b/>
          <w:bCs w:val="0"/>
          <w:sz w:val="24"/>
          <w:szCs w:val="24"/>
          <w:lang w:val="sr-Cyrl-RS"/>
        </w:rPr>
      </w:pPr>
      <w:bookmarkStart w:id="60" w:name="page26"/>
      <w:bookmarkEnd w:id="60"/>
      <w:bookmarkStart w:id="61" w:name="_Toc159226524"/>
      <w:r>
        <w:rPr>
          <w:rFonts w:ascii="Arial" w:hAnsi="Arial" w:cs="Arial"/>
          <w:b/>
          <w:bCs w:val="0"/>
          <w:sz w:val="24"/>
          <w:szCs w:val="24"/>
          <w:lang w:val="sr-Cyrl-RS"/>
        </w:rPr>
        <w:t>5 . АНАЛИЗА ПОСТОЈЕЋЕГ СТАЊА РАЗВОЈА ТУРИЗМА ГАЏИНОГ ХАНА</w:t>
      </w:r>
      <w:bookmarkEnd w:id="61"/>
    </w:p>
    <w:p>
      <w:pPr>
        <w:pStyle w:val="3"/>
      </w:pPr>
      <w:bookmarkStart w:id="62" w:name="_Toc159226525"/>
      <w:r>
        <w:t>5.1.  Кључни показатељи туристичког промета у последњих пет година на територији јединице локалне самоуправе Гаџин Хан</w:t>
      </w:r>
      <w:bookmarkEnd w:id="62"/>
    </w:p>
    <w:p>
      <w:pPr>
        <w:spacing w:line="302" w:lineRule="exact"/>
        <w:rPr>
          <w:rFonts w:ascii="Arial" w:hAnsi="Arial" w:cs="Arial"/>
          <w:lang w:val="sr-Cyrl-RS"/>
        </w:rPr>
      </w:pPr>
    </w:p>
    <w:p>
      <w:pPr>
        <w:jc w:val="both"/>
        <w:rPr>
          <w:rFonts w:ascii="Arial" w:hAnsi="Arial" w:cs="Arial"/>
          <w:lang w:val="sr-Cyrl-RS"/>
        </w:rPr>
      </w:pPr>
      <w:r>
        <w:rPr>
          <w:rFonts w:ascii="Arial" w:hAnsi="Arial" w:cs="Arial"/>
          <w:lang w:val="ru-RU"/>
        </w:rPr>
        <w:t xml:space="preserve">У посматраном периоду од 2018. до </w:t>
      </w:r>
      <w:r>
        <w:rPr>
          <w:rFonts w:ascii="Arial" w:hAnsi="Arial" w:cs="Arial"/>
          <w:lang w:val="sr-Cyrl-RS"/>
        </w:rPr>
        <w:t xml:space="preserve">краја </w:t>
      </w:r>
      <w:r>
        <w:rPr>
          <w:rFonts w:ascii="Arial" w:hAnsi="Arial" w:cs="Arial"/>
          <w:lang w:val="ru-RU"/>
        </w:rPr>
        <w:t>2022. године, јасно је да се</w:t>
      </w:r>
      <w:r>
        <w:rPr>
          <w:rFonts w:ascii="Arial" w:hAnsi="Arial" w:cs="Arial"/>
          <w:lang w:val="sr-Cyrl-RS"/>
        </w:rPr>
        <w:t xml:space="preserve"> у</w:t>
      </w:r>
      <w:r>
        <w:rPr>
          <w:rFonts w:ascii="Arial" w:hAnsi="Arial" w:cs="Arial"/>
          <w:lang w:val="ru-RU"/>
        </w:rPr>
        <w:t xml:space="preserve"> општини Гаџин Хан није бележио запажен туристички промет, посебно током </w:t>
      </w:r>
      <w:r>
        <w:rPr>
          <w:rFonts w:ascii="Arial" w:hAnsi="Arial" w:cs="Arial"/>
          <w:lang w:val="sr-Cyrl-RS"/>
        </w:rPr>
        <w:t>периода 2018-2020</w:t>
      </w:r>
      <w:r>
        <w:rPr>
          <w:rFonts w:ascii="Arial" w:hAnsi="Arial" w:cs="Arial"/>
          <w:lang w:val="ru-RU"/>
        </w:rPr>
        <w:t xml:space="preserve"> када </w:t>
      </w:r>
      <w:r>
        <w:rPr>
          <w:rFonts w:ascii="Arial" w:hAnsi="Arial" w:cs="Arial"/>
          <w:lang w:val="sr-Cyrl-RS"/>
        </w:rPr>
        <w:t xml:space="preserve">уопште </w:t>
      </w:r>
      <w:r>
        <w:rPr>
          <w:rFonts w:ascii="Arial" w:hAnsi="Arial" w:cs="Arial"/>
          <w:lang w:val="ru-RU"/>
        </w:rPr>
        <w:t>није било туристичке активности. Међутим, индекс</w:t>
      </w:r>
      <w:r>
        <w:rPr>
          <w:rFonts w:ascii="Arial" w:hAnsi="Arial" w:cs="Arial"/>
          <w:lang w:val="sr-Cyrl-RS"/>
        </w:rPr>
        <w:t>,</w:t>
      </w:r>
      <w:r>
        <w:rPr>
          <w:rFonts w:ascii="Arial" w:hAnsi="Arial" w:cs="Arial"/>
          <w:lang w:val="ru-RU"/>
        </w:rPr>
        <w:t xml:space="preserve"> који </w:t>
      </w:r>
      <w:r>
        <w:rPr>
          <w:rFonts w:ascii="Arial" w:hAnsi="Arial" w:cs="Arial"/>
          <w:lang w:val="sr-Cyrl-RS"/>
        </w:rPr>
        <w:t>указује на</w:t>
      </w:r>
      <w:r>
        <w:rPr>
          <w:rFonts w:ascii="Arial" w:hAnsi="Arial" w:cs="Arial"/>
          <w:lang w:val="ru-RU"/>
        </w:rPr>
        <w:t xml:space="preserve"> </w:t>
      </w:r>
      <w:r>
        <w:rPr>
          <w:rFonts w:ascii="Arial" w:hAnsi="Arial" w:cs="Arial"/>
          <w:lang w:val="sr-Cyrl-RS"/>
        </w:rPr>
        <w:t>промене у односу долазака туриста (пораст или пад броја долазака), у 2022. години</w:t>
      </w:r>
      <w:r>
        <w:rPr>
          <w:rFonts w:ascii="Arial" w:hAnsi="Arial" w:cs="Arial"/>
          <w:lang w:val="ru-RU"/>
        </w:rPr>
        <w:t xml:space="preserve"> </w:t>
      </w:r>
      <w:r>
        <w:rPr>
          <w:rFonts w:ascii="Arial" w:hAnsi="Arial" w:cs="Arial"/>
          <w:lang w:val="sr-Cyrl-RS"/>
        </w:rPr>
        <w:t xml:space="preserve">износи </w:t>
      </w:r>
      <w:r>
        <w:rPr>
          <w:rFonts w:ascii="Arial" w:hAnsi="Arial" w:cs="Arial"/>
          <w:lang w:val="ru-RU"/>
        </w:rPr>
        <w:t>6,45</w:t>
      </w:r>
      <w:r>
        <w:rPr>
          <w:rFonts w:ascii="Arial" w:hAnsi="Arial" w:cs="Arial"/>
          <w:lang w:val="sr-Cyrl-RS"/>
        </w:rPr>
        <w:t>% и п</w:t>
      </w:r>
      <w:r>
        <w:rPr>
          <w:rFonts w:ascii="Arial" w:hAnsi="Arial" w:cs="Arial"/>
          <w:lang w:val="sr-Latn-RS"/>
        </w:rPr>
        <w:t>o</w:t>
      </w:r>
      <w:r>
        <w:rPr>
          <w:rFonts w:ascii="Arial" w:hAnsi="Arial" w:cs="Arial"/>
          <w:lang w:val="sr-Cyrl-RS"/>
        </w:rPr>
        <w:t>казује да је</w:t>
      </w:r>
      <w:r>
        <w:rPr>
          <w:rFonts w:ascii="Arial" w:hAnsi="Arial" w:cs="Arial"/>
          <w:lang w:val="ru-RU"/>
        </w:rPr>
        <w:t xml:space="preserve"> </w:t>
      </w:r>
      <w:r>
        <w:rPr>
          <w:rFonts w:ascii="Arial" w:hAnsi="Arial" w:cs="Arial"/>
          <w:lang w:val="sr-Cyrl-RS"/>
        </w:rPr>
        <w:t>те</w:t>
      </w:r>
      <w:r>
        <w:rPr>
          <w:rFonts w:ascii="Arial" w:hAnsi="Arial" w:cs="Arial"/>
          <w:lang w:val="ru-RU"/>
        </w:rPr>
        <w:t xml:space="preserve"> </w:t>
      </w:r>
      <w:r>
        <w:rPr>
          <w:rFonts w:ascii="Arial" w:hAnsi="Arial" w:cs="Arial"/>
          <w:lang w:val="sr-Cyrl-RS"/>
        </w:rPr>
        <w:t>г</w:t>
      </w:r>
      <w:r>
        <w:rPr>
          <w:rFonts w:ascii="Arial" w:hAnsi="Arial" w:cs="Arial"/>
          <w:lang w:val="ru-RU"/>
        </w:rPr>
        <w:t>одине</w:t>
      </w:r>
      <w:r>
        <w:rPr>
          <w:rFonts w:ascii="Arial" w:hAnsi="Arial" w:cs="Arial"/>
          <w:lang w:val="sr-Cyrl-RS"/>
        </w:rPr>
        <w:t xml:space="preserve"> забележен значајан пад у броју долазака туриста у односу на 2021. годину од 93,</w:t>
      </w:r>
      <w:r>
        <w:rPr>
          <w:rFonts w:ascii="Arial" w:hAnsi="Arial" w:cs="Arial"/>
          <w:lang w:val="sr-Latn-RS"/>
        </w:rPr>
        <w:t>5</w:t>
      </w:r>
      <w:r>
        <w:rPr>
          <w:rFonts w:ascii="Arial" w:hAnsi="Arial" w:cs="Arial"/>
          <w:lang w:val="sr-Cyrl-RS"/>
        </w:rPr>
        <w:t xml:space="preserve">5% која и даље остаје рекордна, по питању броја долазака и ноћења туриста у овој општини. </w:t>
      </w:r>
    </w:p>
    <w:p>
      <w:pPr>
        <w:jc w:val="both"/>
        <w:rPr>
          <w:rFonts w:ascii="Arial" w:hAnsi="Arial" w:cs="Arial"/>
          <w:lang w:val="sr-Cyrl-RS"/>
        </w:rPr>
      </w:pPr>
    </w:p>
    <w:p>
      <w:pPr>
        <w:jc w:val="both"/>
        <w:rPr>
          <w:rFonts w:ascii="Arial" w:hAnsi="Arial" w:cs="Arial"/>
          <w:lang w:val="sr-Cyrl-RS"/>
        </w:rPr>
      </w:pPr>
      <w:r>
        <w:rPr>
          <w:rFonts w:ascii="Arial" w:hAnsi="Arial" w:cs="Arial"/>
          <w:lang w:val="sr-Cyrl-RS"/>
        </w:rPr>
        <w:t>Подаци из 2021.</w:t>
      </w:r>
      <w:r>
        <w:rPr>
          <w:rFonts w:ascii="Arial" w:hAnsi="Arial" w:cs="Arial"/>
          <w:lang w:val="sr-Latn-RS"/>
        </w:rPr>
        <w:t xml:space="preserve"> </w:t>
      </w:r>
      <w:r>
        <w:rPr>
          <w:rFonts w:ascii="Arial" w:hAnsi="Arial" w:cs="Arial"/>
          <w:lang w:val="sr-Cyrl-RS"/>
        </w:rPr>
        <w:t>године истичу оживљавање локалне туристичке активности у општини Гаџин Хан, указујући на присуство привлачних туристичких атракција које могу да подстакну интересовање туриста. Без обзира на то, примећен је значајан пад у наредној години, што указује на неопходност да се истраже основни узроци ових флуктуација. Значајан пад од преко 93% у доласцима, заједно са смањењем ноћења од 90% током 2022. године, наглашава велике препреке у сталном анимирању туристичке тражње у овој општини. Ова драстична промена би се потенцијално могла приписати мноштву фактора, укључујући појачане напоре у промовисању локалних догађаја и представљању природног и културног наслеђа овог простора.</w:t>
      </w:r>
    </w:p>
    <w:p>
      <w:pPr>
        <w:spacing w:line="302" w:lineRule="exact"/>
        <w:rPr>
          <w:rFonts w:ascii="Arial" w:hAnsi="Arial" w:cs="Arial"/>
          <w:lang w:val="sr-Cyrl-RS"/>
        </w:rPr>
      </w:pPr>
    </w:p>
    <w:p>
      <w:pPr>
        <w:jc w:val="both"/>
        <w:rPr>
          <w:rFonts w:ascii="Arial" w:hAnsi="Arial" w:cs="Arial"/>
          <w:lang w:val="sr-Cyrl-RS"/>
        </w:rPr>
      </w:pPr>
      <w:r>
        <w:rPr>
          <w:rFonts w:ascii="Arial" w:hAnsi="Arial" w:cs="Arial"/>
          <w:lang w:val="sr-Cyrl-RS"/>
        </w:rPr>
        <w:t>Табела 7. Туристички промет од 2018 до 2022. РС</w:t>
      </w:r>
    </w:p>
    <w:tbl>
      <w:tblPr>
        <w:tblStyle w:val="74"/>
        <w:tblW w:w="5000" w:type="pct"/>
        <w:tblInd w:w="0" w:type="dxa"/>
        <w:tblLayout w:type="autofit"/>
        <w:tblCellMar>
          <w:top w:w="0" w:type="dxa"/>
          <w:left w:w="108" w:type="dxa"/>
          <w:bottom w:w="0" w:type="dxa"/>
          <w:right w:w="108" w:type="dxa"/>
        </w:tblCellMar>
      </w:tblPr>
      <w:tblGrid>
        <w:gridCol w:w="812"/>
        <w:gridCol w:w="1033"/>
        <w:gridCol w:w="1128"/>
        <w:gridCol w:w="1013"/>
        <w:gridCol w:w="1048"/>
        <w:gridCol w:w="1033"/>
        <w:gridCol w:w="1128"/>
        <w:gridCol w:w="1013"/>
        <w:gridCol w:w="1048"/>
      </w:tblGrid>
      <w:tr>
        <w:tblPrEx>
          <w:tblCellMar>
            <w:top w:w="0" w:type="dxa"/>
            <w:left w:w="108" w:type="dxa"/>
            <w:bottom w:w="0" w:type="dxa"/>
            <w:right w:w="108" w:type="dxa"/>
          </w:tblCellMar>
        </w:tblPrEx>
        <w:trPr>
          <w:trHeight w:val="293" w:hRule="atLeast"/>
        </w:trPr>
        <w:tc>
          <w:tcPr>
            <w:tcW w:w="439" w:type="pct"/>
            <w:tcBorders>
              <w:bottom w:val="single" w:color="7E7E7E" w:themeColor="text1" w:themeTint="80" w:sz="4" w:space="0"/>
              <w:right w:val="nil"/>
              <w:insideH w:val="single" w:sz="4" w:space="0"/>
            </w:tcBorders>
            <w:noWrap/>
            <w:vAlign w:val="center"/>
          </w:tcPr>
          <w:p>
            <w:pPr>
              <w:jc w:val="center"/>
              <w:rPr>
                <w:rFonts w:ascii="Arial" w:hAnsi="Arial" w:cs="Arial"/>
                <w:b/>
                <w:bCs/>
                <w:caps/>
                <w:kern w:val="2"/>
                <w:lang w:eastAsia="en-US"/>
                <w14:ligatures w14:val="standardContextual"/>
              </w:rPr>
            </w:pPr>
          </w:p>
        </w:tc>
        <w:tc>
          <w:tcPr>
            <w:tcW w:w="1714" w:type="pct"/>
            <w:gridSpan w:val="3"/>
            <w:tcBorders>
              <w:bottom w:val="single" w:color="7E7E7E" w:themeColor="text1" w:themeTint="80" w:sz="4" w:space="0"/>
              <w:insideH w:val="single" w:sz="4" w:space="0"/>
            </w:tcBorders>
            <w:vAlign w:val="center"/>
          </w:tcPr>
          <w:p>
            <w:pPr>
              <w:jc w:val="center"/>
              <w:rPr>
                <w:rFonts w:ascii="Arial" w:hAnsi="Arial" w:cs="Arial"/>
                <w:b/>
                <w:bCs/>
                <w:caps/>
                <w:color w:val="000000"/>
                <w:kern w:val="2"/>
                <w:sz w:val="20"/>
                <w:szCs w:val="20"/>
                <w:lang w:val="sr-Cyrl-RS" w:eastAsia="en-US"/>
                <w14:ligatures w14:val="standardContextual"/>
              </w:rPr>
            </w:pPr>
            <w:r>
              <w:rPr>
                <w:rFonts w:ascii="Arial" w:hAnsi="Arial" w:cs="Arial"/>
                <w:b/>
                <w:bCs/>
                <w:caps/>
                <w:color w:val="000000"/>
                <w:kern w:val="2"/>
                <w:sz w:val="20"/>
                <w:szCs w:val="20"/>
                <w:lang w:val="sr-Cyrl-RS" w:eastAsia="en-US"/>
                <w14:ligatures w14:val="standardContextual"/>
              </w:rPr>
              <w:t>Доласци</w:t>
            </w:r>
          </w:p>
        </w:tc>
        <w:tc>
          <w:tcPr>
            <w:tcW w:w="566" w:type="pct"/>
            <w:tcBorders>
              <w:bottom w:val="single" w:color="7E7E7E" w:themeColor="text1" w:themeTint="80" w:sz="4" w:space="0"/>
              <w:insideH w:val="single" w:sz="4" w:space="0"/>
            </w:tcBorders>
            <w:vAlign w:val="center"/>
          </w:tcPr>
          <w:p>
            <w:pPr>
              <w:jc w:val="center"/>
              <w:rPr>
                <w:rFonts w:ascii="Arial" w:hAnsi="Arial" w:cs="Arial"/>
                <w:b/>
                <w:bCs/>
                <w:caps/>
                <w:color w:val="000000"/>
                <w:kern w:val="2"/>
                <w:sz w:val="20"/>
                <w:szCs w:val="20"/>
                <w:lang w:eastAsia="en-US"/>
                <w14:ligatures w14:val="standardContextual"/>
              </w:rPr>
            </w:pPr>
          </w:p>
        </w:tc>
        <w:tc>
          <w:tcPr>
            <w:tcW w:w="1714" w:type="pct"/>
            <w:gridSpan w:val="3"/>
            <w:tcBorders>
              <w:bottom w:val="single" w:color="7E7E7E" w:themeColor="text1" w:themeTint="80" w:sz="4" w:space="0"/>
              <w:insideH w:val="single" w:sz="4" w:space="0"/>
            </w:tcBorders>
            <w:vAlign w:val="center"/>
          </w:tcPr>
          <w:p>
            <w:pPr>
              <w:jc w:val="center"/>
              <w:rPr>
                <w:rFonts w:ascii="Arial" w:hAnsi="Arial" w:cs="Arial"/>
                <w:b/>
                <w:bCs/>
                <w:caps/>
                <w:color w:val="000000"/>
                <w:kern w:val="2"/>
                <w:sz w:val="20"/>
                <w:szCs w:val="20"/>
                <w:lang w:val="sr-Cyrl-RS" w:eastAsia="en-US"/>
                <w14:ligatures w14:val="standardContextual"/>
              </w:rPr>
            </w:pPr>
            <w:r>
              <w:rPr>
                <w:rFonts w:ascii="Arial" w:hAnsi="Arial" w:cs="Arial"/>
                <w:b/>
                <w:bCs/>
                <w:caps/>
                <w:color w:val="000000"/>
                <w:kern w:val="2"/>
                <w:sz w:val="20"/>
                <w:szCs w:val="20"/>
                <w:lang w:val="sr-Cyrl-RS" w:eastAsia="en-US"/>
                <w14:ligatures w14:val="standardContextual"/>
              </w:rPr>
              <w:t>Н</w:t>
            </w:r>
            <w:r>
              <w:rPr>
                <w:rFonts w:ascii="Arial" w:hAnsi="Arial" w:cs="Arial"/>
                <w:b/>
                <w:bCs/>
                <w:caps w:val="0"/>
                <w:color w:val="000000"/>
                <w:kern w:val="2"/>
                <w:sz w:val="20"/>
                <w:szCs w:val="20"/>
                <w:lang w:val="sr-Cyrl-RS" w:eastAsia="en-US"/>
                <w14:ligatures w14:val="standardContextual"/>
              </w:rPr>
              <w:t>оћења</w:t>
            </w:r>
          </w:p>
        </w:tc>
        <w:tc>
          <w:tcPr>
            <w:tcW w:w="566" w:type="pct"/>
            <w:tcBorders>
              <w:bottom w:val="single" w:color="7E7E7E" w:themeColor="text1" w:themeTint="80" w:sz="4" w:space="0"/>
              <w:insideH w:val="single" w:sz="4" w:space="0"/>
            </w:tcBorders>
            <w:noWrap/>
            <w:vAlign w:val="center"/>
          </w:tcPr>
          <w:p>
            <w:pPr>
              <w:jc w:val="center"/>
              <w:rPr>
                <w:rFonts w:ascii="Arial" w:hAnsi="Arial" w:cs="Arial"/>
                <w:b/>
                <w:bCs/>
                <w:caps/>
                <w:color w:val="000000"/>
                <w:kern w:val="2"/>
                <w:sz w:val="20"/>
                <w:szCs w:val="20"/>
                <w:lang w:eastAsia="en-US"/>
                <w14:ligatures w14:val="standardContextual"/>
              </w:rPr>
            </w:pP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shd w:val="clear" w:color="auto" w:fill="F1F1F1" w:themeFill="background1" w:themeFillShade="F2"/>
            <w:noWrap/>
            <w:vAlign w:val="center"/>
          </w:tcPr>
          <w:p>
            <w:pPr>
              <w:jc w:val="center"/>
              <w:rPr>
                <w:rFonts w:ascii="Arial" w:hAnsi="Arial" w:cs="Arial"/>
                <w:b/>
                <w:bCs/>
                <w:caps/>
                <w:kern w:val="2"/>
                <w:sz w:val="20"/>
                <w:szCs w:val="20"/>
                <w:lang w:eastAsia="en-US"/>
                <w14:ligatures w14:val="standardContextual"/>
              </w:rPr>
            </w:pPr>
          </w:p>
        </w:tc>
        <w:tc>
          <w:tcPr>
            <w:tcW w:w="558" w:type="pct"/>
            <w:vMerge w:val="restart"/>
            <w:shd w:val="clear" w:color="auto" w:fill="F1F1F1" w:themeFill="background1" w:themeFillShade="F2"/>
            <w:vAlign w:val="center"/>
          </w:tcPr>
          <w:p>
            <w:pPr>
              <w:jc w:val="center"/>
              <w:rPr>
                <w:rFonts w:ascii="Arial" w:hAnsi="Arial" w:cs="Arial"/>
                <w:b/>
                <w:bCs/>
                <w:color w:val="000000"/>
                <w:kern w:val="2"/>
                <w:sz w:val="20"/>
                <w:szCs w:val="20"/>
                <w:lang w:val="sr-Cyrl-RS" w:eastAsia="en-US"/>
                <w14:ligatures w14:val="standardContextual"/>
              </w:rPr>
            </w:pPr>
            <w:r>
              <w:rPr>
                <w:rFonts w:ascii="Arial" w:hAnsi="Arial" w:cs="Arial"/>
                <w:b/>
                <w:bCs/>
                <w:color w:val="000000"/>
                <w:kern w:val="2"/>
                <w:sz w:val="20"/>
                <w:szCs w:val="20"/>
                <w:lang w:val="sr-Cyrl-RS" w:eastAsia="en-US"/>
                <w14:ligatures w14:val="standardContextual"/>
              </w:rPr>
              <w:t>Укупно</w:t>
            </w:r>
          </w:p>
        </w:tc>
        <w:tc>
          <w:tcPr>
            <w:tcW w:w="609" w:type="pct"/>
            <w:vMerge w:val="restart"/>
            <w:shd w:val="clear" w:color="auto" w:fill="F1F1F1" w:themeFill="background1" w:themeFillShade="F2"/>
            <w:vAlign w:val="center"/>
          </w:tcPr>
          <w:p>
            <w:pPr>
              <w:jc w:val="center"/>
              <w:rPr>
                <w:rFonts w:ascii="Arial" w:hAnsi="Arial" w:cs="Arial"/>
                <w:b/>
                <w:bCs/>
                <w:color w:val="000000"/>
                <w:kern w:val="2"/>
                <w:sz w:val="20"/>
                <w:szCs w:val="20"/>
                <w:lang w:val="sr-Cyrl-RS" w:eastAsia="en-US"/>
                <w14:ligatures w14:val="standardContextual"/>
              </w:rPr>
            </w:pPr>
            <w:r>
              <w:rPr>
                <w:rFonts w:ascii="Arial" w:hAnsi="Arial" w:cs="Arial"/>
                <w:b/>
                <w:bCs/>
                <w:color w:val="000000"/>
                <w:kern w:val="2"/>
                <w:sz w:val="20"/>
                <w:szCs w:val="20"/>
                <w:lang w:val="sr-Cyrl-RS" w:eastAsia="en-US"/>
                <w14:ligatures w14:val="standardContextual"/>
              </w:rPr>
              <w:t>Домаћи</w:t>
            </w:r>
          </w:p>
        </w:tc>
        <w:tc>
          <w:tcPr>
            <w:tcW w:w="547" w:type="pct"/>
            <w:vMerge w:val="restart"/>
            <w:shd w:val="clear" w:color="auto" w:fill="F1F1F1" w:themeFill="background1" w:themeFillShade="F2"/>
            <w:vAlign w:val="center"/>
          </w:tcPr>
          <w:p>
            <w:pPr>
              <w:jc w:val="center"/>
              <w:rPr>
                <w:rFonts w:ascii="Arial" w:hAnsi="Arial" w:cs="Arial"/>
                <w:b/>
                <w:bCs/>
                <w:color w:val="000000"/>
                <w:kern w:val="2"/>
                <w:sz w:val="20"/>
                <w:szCs w:val="20"/>
                <w:lang w:val="sr-Cyrl-RS" w:eastAsia="en-US"/>
                <w14:ligatures w14:val="standardContextual"/>
              </w:rPr>
            </w:pPr>
            <w:r>
              <w:rPr>
                <w:rFonts w:ascii="Arial" w:hAnsi="Arial" w:cs="Arial"/>
                <w:b/>
                <w:bCs/>
                <w:color w:val="000000"/>
                <w:kern w:val="2"/>
                <w:sz w:val="20"/>
                <w:szCs w:val="20"/>
                <w:lang w:val="sr-Cyrl-RS" w:eastAsia="en-US"/>
                <w14:ligatures w14:val="standardContextual"/>
              </w:rPr>
              <w:t>Страни</w:t>
            </w:r>
          </w:p>
        </w:tc>
        <w:tc>
          <w:tcPr>
            <w:tcW w:w="566" w:type="pct"/>
            <w:vMerge w:val="restart"/>
            <w:shd w:val="clear" w:color="auto" w:fill="F1F1F1" w:themeFill="background1" w:themeFillShade="F2"/>
            <w:vAlign w:val="center"/>
          </w:tcPr>
          <w:p>
            <w:pPr>
              <w:jc w:val="center"/>
              <w:rPr>
                <w:rFonts w:ascii="Arial" w:hAnsi="Arial" w:cs="Arial"/>
                <w:b/>
                <w:bCs/>
                <w:color w:val="000000"/>
                <w:kern w:val="2"/>
                <w:sz w:val="20"/>
                <w:szCs w:val="20"/>
                <w:lang w:val="sr-Cyrl-RS" w:eastAsia="en-US"/>
                <w14:ligatures w14:val="standardContextual"/>
              </w:rPr>
            </w:pPr>
            <w:r>
              <w:rPr>
                <w:rFonts w:ascii="Arial" w:hAnsi="Arial" w:cs="Arial"/>
                <w:b/>
                <w:bCs/>
                <w:color w:val="000000"/>
                <w:kern w:val="2"/>
                <w:sz w:val="20"/>
                <w:szCs w:val="20"/>
                <w:lang w:val="sr-Cyrl-RS" w:eastAsia="en-US"/>
                <w14:ligatures w14:val="standardContextual"/>
              </w:rPr>
              <w:t>Индекс</w:t>
            </w:r>
          </w:p>
        </w:tc>
        <w:tc>
          <w:tcPr>
            <w:tcW w:w="558" w:type="pct"/>
            <w:vMerge w:val="restart"/>
            <w:shd w:val="clear" w:color="auto" w:fill="F1F1F1" w:themeFill="background1" w:themeFillShade="F2"/>
            <w:vAlign w:val="center"/>
          </w:tcPr>
          <w:p>
            <w:pPr>
              <w:jc w:val="center"/>
              <w:rPr>
                <w:rFonts w:ascii="Arial" w:hAnsi="Arial" w:cs="Arial"/>
                <w:b/>
                <w:bCs/>
                <w:color w:val="000000"/>
                <w:kern w:val="2"/>
                <w:sz w:val="20"/>
                <w:szCs w:val="20"/>
                <w:lang w:eastAsia="en-US"/>
                <w14:ligatures w14:val="standardContextual"/>
              </w:rPr>
            </w:pPr>
            <w:r>
              <w:rPr>
                <w:rFonts w:ascii="Arial" w:hAnsi="Arial" w:cs="Arial"/>
                <w:b/>
                <w:bCs/>
                <w:color w:val="000000"/>
                <w:kern w:val="2"/>
                <w:sz w:val="20"/>
                <w:szCs w:val="20"/>
                <w:lang w:val="sr-Cyrl-RS" w:eastAsia="en-US"/>
                <w14:ligatures w14:val="standardContextual"/>
              </w:rPr>
              <w:t>Укупно</w:t>
            </w:r>
          </w:p>
        </w:tc>
        <w:tc>
          <w:tcPr>
            <w:tcW w:w="609" w:type="pct"/>
            <w:vMerge w:val="restart"/>
            <w:shd w:val="clear" w:color="auto" w:fill="F1F1F1" w:themeFill="background1" w:themeFillShade="F2"/>
            <w:vAlign w:val="center"/>
          </w:tcPr>
          <w:p>
            <w:pPr>
              <w:jc w:val="center"/>
              <w:rPr>
                <w:rFonts w:ascii="Arial" w:hAnsi="Arial" w:cs="Arial"/>
                <w:b/>
                <w:bCs/>
                <w:color w:val="000000"/>
                <w:kern w:val="2"/>
                <w:sz w:val="20"/>
                <w:szCs w:val="20"/>
                <w:lang w:eastAsia="en-US"/>
                <w14:ligatures w14:val="standardContextual"/>
              </w:rPr>
            </w:pPr>
            <w:r>
              <w:rPr>
                <w:rFonts w:ascii="Arial" w:hAnsi="Arial" w:cs="Arial"/>
                <w:b/>
                <w:bCs/>
                <w:color w:val="000000"/>
                <w:kern w:val="2"/>
                <w:sz w:val="20"/>
                <w:szCs w:val="20"/>
                <w:lang w:val="sr-Cyrl-RS" w:eastAsia="en-US"/>
                <w14:ligatures w14:val="standardContextual"/>
              </w:rPr>
              <w:t>Домаћи</w:t>
            </w:r>
          </w:p>
        </w:tc>
        <w:tc>
          <w:tcPr>
            <w:tcW w:w="547" w:type="pct"/>
            <w:vMerge w:val="restart"/>
            <w:shd w:val="clear" w:color="auto" w:fill="F1F1F1" w:themeFill="background1" w:themeFillShade="F2"/>
            <w:vAlign w:val="center"/>
          </w:tcPr>
          <w:p>
            <w:pPr>
              <w:jc w:val="center"/>
              <w:rPr>
                <w:rFonts w:ascii="Arial" w:hAnsi="Arial" w:cs="Arial"/>
                <w:b/>
                <w:bCs/>
                <w:color w:val="000000"/>
                <w:kern w:val="2"/>
                <w:sz w:val="20"/>
                <w:szCs w:val="20"/>
                <w:lang w:eastAsia="en-US"/>
                <w14:ligatures w14:val="standardContextual"/>
              </w:rPr>
            </w:pPr>
            <w:r>
              <w:rPr>
                <w:rFonts w:ascii="Arial" w:hAnsi="Arial" w:cs="Arial"/>
                <w:b/>
                <w:bCs/>
                <w:color w:val="000000"/>
                <w:kern w:val="2"/>
                <w:sz w:val="20"/>
                <w:szCs w:val="20"/>
                <w:lang w:val="sr-Cyrl-RS" w:eastAsia="en-US"/>
                <w14:ligatures w14:val="standardContextual"/>
              </w:rPr>
              <w:t>Страни</w:t>
            </w:r>
          </w:p>
        </w:tc>
        <w:tc>
          <w:tcPr>
            <w:tcW w:w="566" w:type="pct"/>
            <w:vMerge w:val="restart"/>
            <w:shd w:val="clear" w:color="auto" w:fill="F1F1F1" w:themeFill="background1" w:themeFillShade="F2"/>
            <w:vAlign w:val="center"/>
          </w:tcPr>
          <w:p>
            <w:pPr>
              <w:jc w:val="center"/>
              <w:rPr>
                <w:rFonts w:ascii="Arial" w:hAnsi="Arial" w:cs="Arial"/>
                <w:b/>
                <w:bCs/>
                <w:color w:val="000000"/>
                <w:kern w:val="2"/>
                <w:sz w:val="20"/>
                <w:szCs w:val="20"/>
                <w:lang w:eastAsia="en-US"/>
                <w14:ligatures w14:val="standardContextual"/>
              </w:rPr>
            </w:pPr>
            <w:r>
              <w:rPr>
                <w:rFonts w:ascii="Arial" w:hAnsi="Arial" w:cs="Arial"/>
                <w:b/>
                <w:bCs/>
                <w:color w:val="000000"/>
                <w:kern w:val="2"/>
                <w:sz w:val="20"/>
                <w:szCs w:val="20"/>
                <w:lang w:val="sr-Cyrl-RS" w:eastAsia="en-US"/>
                <w14:ligatures w14:val="standardContextual"/>
              </w:rPr>
              <w:t>Индекс</w:t>
            </w: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noWrap/>
            <w:vAlign w:val="center"/>
          </w:tcPr>
          <w:p>
            <w:pPr>
              <w:jc w:val="center"/>
              <w:rPr>
                <w:rFonts w:ascii="Arial" w:hAnsi="Arial" w:cs="Arial"/>
                <w:b/>
                <w:bCs/>
                <w:caps/>
                <w:color w:val="000000"/>
                <w:kern w:val="2"/>
                <w:sz w:val="20"/>
                <w:szCs w:val="20"/>
                <w:lang w:eastAsia="en-US"/>
                <w14:ligatures w14:val="standardContextual"/>
              </w:rPr>
            </w:pPr>
          </w:p>
        </w:tc>
        <w:tc>
          <w:tcPr>
            <w:tcW w:w="558" w:type="pct"/>
            <w:vMerge w:val="continue"/>
            <w:vAlign w:val="center"/>
          </w:tcPr>
          <w:p>
            <w:pPr>
              <w:jc w:val="center"/>
              <w:rPr>
                <w:rFonts w:ascii="Arial" w:hAnsi="Arial" w:cs="Arial"/>
                <w:b/>
                <w:bCs/>
                <w:color w:val="000000"/>
                <w:kern w:val="2"/>
                <w:sz w:val="20"/>
                <w:szCs w:val="20"/>
                <w:lang w:eastAsia="en-US"/>
                <w14:ligatures w14:val="standardContextual"/>
              </w:rPr>
            </w:pPr>
          </w:p>
        </w:tc>
        <w:tc>
          <w:tcPr>
            <w:tcW w:w="609" w:type="pct"/>
            <w:vMerge w:val="continue"/>
            <w:vAlign w:val="center"/>
          </w:tcPr>
          <w:p>
            <w:pPr>
              <w:jc w:val="center"/>
              <w:rPr>
                <w:rFonts w:ascii="Arial" w:hAnsi="Arial" w:cs="Arial"/>
                <w:b/>
                <w:bCs/>
                <w:color w:val="000000"/>
                <w:kern w:val="2"/>
                <w:sz w:val="20"/>
                <w:szCs w:val="20"/>
                <w:lang w:eastAsia="en-US"/>
                <w14:ligatures w14:val="standardContextual"/>
              </w:rPr>
            </w:pPr>
          </w:p>
        </w:tc>
        <w:tc>
          <w:tcPr>
            <w:tcW w:w="547" w:type="pct"/>
            <w:vMerge w:val="continue"/>
            <w:vAlign w:val="center"/>
          </w:tcPr>
          <w:p>
            <w:pPr>
              <w:jc w:val="center"/>
              <w:rPr>
                <w:rFonts w:ascii="Arial" w:hAnsi="Arial" w:cs="Arial"/>
                <w:b/>
                <w:bCs/>
                <w:color w:val="000000"/>
                <w:kern w:val="2"/>
                <w:sz w:val="20"/>
                <w:szCs w:val="20"/>
                <w:lang w:eastAsia="en-US"/>
                <w14:ligatures w14:val="standardContextual"/>
              </w:rPr>
            </w:pPr>
          </w:p>
        </w:tc>
        <w:tc>
          <w:tcPr>
            <w:tcW w:w="566" w:type="pct"/>
            <w:vMerge w:val="continue"/>
            <w:vAlign w:val="center"/>
          </w:tcPr>
          <w:p>
            <w:pPr>
              <w:jc w:val="center"/>
              <w:rPr>
                <w:rFonts w:ascii="Arial" w:hAnsi="Arial" w:cs="Arial"/>
                <w:b/>
                <w:bCs/>
                <w:color w:val="000000"/>
                <w:kern w:val="2"/>
                <w:sz w:val="20"/>
                <w:szCs w:val="20"/>
                <w:lang w:eastAsia="en-US"/>
                <w14:ligatures w14:val="standardContextual"/>
              </w:rPr>
            </w:pPr>
          </w:p>
        </w:tc>
        <w:tc>
          <w:tcPr>
            <w:tcW w:w="558" w:type="pct"/>
            <w:vMerge w:val="continue"/>
            <w:vAlign w:val="center"/>
          </w:tcPr>
          <w:p>
            <w:pPr>
              <w:jc w:val="center"/>
              <w:rPr>
                <w:rFonts w:ascii="Arial" w:hAnsi="Arial" w:cs="Arial"/>
                <w:b/>
                <w:bCs/>
                <w:color w:val="000000"/>
                <w:kern w:val="2"/>
                <w:sz w:val="20"/>
                <w:szCs w:val="20"/>
                <w:lang w:eastAsia="en-US"/>
                <w14:ligatures w14:val="standardContextual"/>
              </w:rPr>
            </w:pPr>
          </w:p>
        </w:tc>
        <w:tc>
          <w:tcPr>
            <w:tcW w:w="609" w:type="pct"/>
            <w:vMerge w:val="continue"/>
            <w:vAlign w:val="center"/>
          </w:tcPr>
          <w:p>
            <w:pPr>
              <w:jc w:val="center"/>
              <w:rPr>
                <w:rFonts w:ascii="Arial" w:hAnsi="Arial" w:cs="Arial"/>
                <w:b/>
                <w:bCs/>
                <w:color w:val="000000"/>
                <w:kern w:val="2"/>
                <w:sz w:val="20"/>
                <w:szCs w:val="20"/>
                <w:lang w:eastAsia="en-US"/>
                <w14:ligatures w14:val="standardContextual"/>
              </w:rPr>
            </w:pPr>
          </w:p>
        </w:tc>
        <w:tc>
          <w:tcPr>
            <w:tcW w:w="547" w:type="pct"/>
            <w:vMerge w:val="continue"/>
            <w:vAlign w:val="center"/>
          </w:tcPr>
          <w:p>
            <w:pPr>
              <w:jc w:val="center"/>
              <w:rPr>
                <w:rFonts w:ascii="Arial" w:hAnsi="Arial" w:cs="Arial"/>
                <w:b/>
                <w:bCs/>
                <w:color w:val="000000"/>
                <w:kern w:val="2"/>
                <w:sz w:val="20"/>
                <w:szCs w:val="20"/>
                <w:lang w:eastAsia="en-US"/>
                <w14:ligatures w14:val="standardContextual"/>
              </w:rPr>
            </w:pPr>
          </w:p>
        </w:tc>
        <w:tc>
          <w:tcPr>
            <w:tcW w:w="566" w:type="pct"/>
            <w:vMerge w:val="continue"/>
            <w:vAlign w:val="center"/>
          </w:tcPr>
          <w:p>
            <w:pPr>
              <w:jc w:val="center"/>
              <w:rPr>
                <w:rFonts w:ascii="Arial" w:hAnsi="Arial" w:cs="Arial"/>
                <w:b/>
                <w:bCs/>
                <w:color w:val="000000"/>
                <w:kern w:val="2"/>
                <w:sz w:val="20"/>
                <w:szCs w:val="20"/>
                <w:lang w:eastAsia="en-US"/>
                <w14:ligatures w14:val="standardContextual"/>
              </w:rPr>
            </w:pP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shd w:val="clear" w:color="auto" w:fill="F1F1F1" w:themeFill="background1" w:themeFillShade="F2"/>
            <w:noWrap/>
            <w:vAlign w:val="center"/>
          </w:tcPr>
          <w:p>
            <w:pPr>
              <w:jc w:val="center"/>
              <w:rPr>
                <w:rFonts w:ascii="Arial" w:hAnsi="Arial" w:cs="Arial"/>
                <w:b/>
                <w:bCs/>
                <w:caps/>
                <w:color w:val="000000"/>
                <w:kern w:val="2"/>
                <w:lang w:eastAsia="en-US"/>
                <w14:ligatures w14:val="standardContextual"/>
              </w:rPr>
            </w:pPr>
            <w:r>
              <w:rPr>
                <w:rFonts w:ascii="Arial" w:hAnsi="Arial" w:cs="Arial"/>
                <w:b/>
                <w:bCs/>
                <w:caps/>
                <w:color w:val="000000"/>
                <w:kern w:val="2"/>
                <w:lang w:eastAsia="en-US"/>
                <w14:ligatures w14:val="standardContextual"/>
              </w:rPr>
              <w:t>2018</w:t>
            </w:r>
          </w:p>
        </w:tc>
        <w:tc>
          <w:tcPr>
            <w:tcW w:w="558"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609"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47"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58"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609"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47"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noWrap/>
            <w:vAlign w:val="center"/>
          </w:tcPr>
          <w:p>
            <w:pPr>
              <w:jc w:val="center"/>
              <w:rPr>
                <w:rFonts w:ascii="Arial" w:hAnsi="Arial" w:cs="Arial"/>
                <w:b/>
                <w:bCs/>
                <w:caps/>
                <w:color w:val="000000"/>
                <w:kern w:val="2"/>
                <w:lang w:eastAsia="en-US"/>
                <w14:ligatures w14:val="standardContextual"/>
              </w:rPr>
            </w:pPr>
            <w:r>
              <w:rPr>
                <w:rFonts w:ascii="Arial" w:hAnsi="Arial" w:cs="Arial"/>
                <w:b/>
                <w:bCs/>
                <w:caps/>
                <w:color w:val="000000"/>
                <w:kern w:val="2"/>
                <w:lang w:eastAsia="en-US"/>
                <w14:ligatures w14:val="standardContextual"/>
              </w:rPr>
              <w:t>2019</w:t>
            </w:r>
          </w:p>
        </w:tc>
        <w:tc>
          <w:tcPr>
            <w:tcW w:w="558"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609"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47"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58"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609"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47"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shd w:val="clear" w:color="auto" w:fill="F1F1F1" w:themeFill="background1" w:themeFillShade="F2"/>
            <w:noWrap/>
            <w:vAlign w:val="center"/>
          </w:tcPr>
          <w:p>
            <w:pPr>
              <w:jc w:val="center"/>
              <w:rPr>
                <w:rFonts w:ascii="Arial" w:hAnsi="Arial" w:cs="Arial"/>
                <w:b/>
                <w:bCs/>
                <w:caps/>
                <w:color w:val="000000"/>
                <w:kern w:val="2"/>
                <w:lang w:eastAsia="en-US"/>
                <w14:ligatures w14:val="standardContextual"/>
              </w:rPr>
            </w:pPr>
            <w:r>
              <w:rPr>
                <w:rFonts w:ascii="Arial" w:hAnsi="Arial" w:cs="Arial"/>
                <w:b/>
                <w:bCs/>
                <w:caps/>
                <w:color w:val="000000"/>
                <w:kern w:val="2"/>
                <w:lang w:eastAsia="en-US"/>
                <w14:ligatures w14:val="standardContextual"/>
              </w:rPr>
              <w:t>2020</w:t>
            </w:r>
          </w:p>
        </w:tc>
        <w:tc>
          <w:tcPr>
            <w:tcW w:w="558"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609"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47"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58"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609"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47"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noWrap/>
            <w:vAlign w:val="center"/>
          </w:tcPr>
          <w:p>
            <w:pPr>
              <w:jc w:val="center"/>
              <w:rPr>
                <w:rFonts w:ascii="Arial" w:hAnsi="Arial" w:cs="Arial"/>
                <w:b/>
                <w:bCs/>
                <w:caps/>
                <w:color w:val="000000"/>
                <w:kern w:val="2"/>
                <w:lang w:eastAsia="en-US"/>
                <w14:ligatures w14:val="standardContextual"/>
              </w:rPr>
            </w:pPr>
            <w:r>
              <w:rPr>
                <w:rFonts w:ascii="Arial" w:hAnsi="Arial" w:cs="Arial"/>
                <w:b/>
                <w:bCs/>
                <w:caps/>
                <w:color w:val="000000"/>
                <w:kern w:val="2"/>
                <w:lang w:eastAsia="en-US"/>
                <w14:ligatures w14:val="standardContextual"/>
              </w:rPr>
              <w:t>2021</w:t>
            </w:r>
          </w:p>
        </w:tc>
        <w:tc>
          <w:tcPr>
            <w:tcW w:w="558"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31</w:t>
            </w:r>
          </w:p>
        </w:tc>
        <w:tc>
          <w:tcPr>
            <w:tcW w:w="609"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31</w:t>
            </w:r>
          </w:p>
        </w:tc>
        <w:tc>
          <w:tcPr>
            <w:tcW w:w="547"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w:t>
            </w:r>
          </w:p>
        </w:tc>
        <w:tc>
          <w:tcPr>
            <w:tcW w:w="558"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40</w:t>
            </w:r>
          </w:p>
        </w:tc>
        <w:tc>
          <w:tcPr>
            <w:tcW w:w="609"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40</w:t>
            </w:r>
          </w:p>
        </w:tc>
        <w:tc>
          <w:tcPr>
            <w:tcW w:w="547"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w:t>
            </w:r>
          </w:p>
        </w:tc>
      </w:tr>
      <w:tr>
        <w:tblPrEx>
          <w:tblCellMar>
            <w:top w:w="0" w:type="dxa"/>
            <w:left w:w="108" w:type="dxa"/>
            <w:bottom w:w="0" w:type="dxa"/>
            <w:right w:w="108" w:type="dxa"/>
          </w:tblCellMar>
        </w:tblPrEx>
        <w:trPr>
          <w:trHeight w:val="293" w:hRule="atLeast"/>
        </w:trPr>
        <w:tc>
          <w:tcPr>
            <w:tcW w:w="439" w:type="pct"/>
            <w:tcBorders>
              <w:right w:val="single" w:color="7E7E7E" w:themeColor="text1" w:themeTint="80" w:sz="4" w:space="0"/>
              <w:insideV w:val="single" w:sz="4" w:space="0"/>
            </w:tcBorders>
            <w:shd w:val="clear" w:color="auto" w:fill="F1F1F1" w:themeFill="background1" w:themeFillShade="F2"/>
            <w:noWrap/>
            <w:vAlign w:val="center"/>
          </w:tcPr>
          <w:p>
            <w:pPr>
              <w:jc w:val="center"/>
              <w:rPr>
                <w:rFonts w:ascii="Arial" w:hAnsi="Arial" w:cs="Arial"/>
                <w:b/>
                <w:bCs/>
                <w:caps/>
                <w:color w:val="000000"/>
                <w:kern w:val="2"/>
                <w:lang w:eastAsia="en-US"/>
                <w14:ligatures w14:val="standardContextual"/>
              </w:rPr>
            </w:pPr>
            <w:r>
              <w:rPr>
                <w:rFonts w:ascii="Arial" w:hAnsi="Arial" w:cs="Arial"/>
                <w:b/>
                <w:bCs/>
                <w:caps/>
                <w:color w:val="000000"/>
                <w:kern w:val="2"/>
                <w:lang w:eastAsia="en-US"/>
                <w14:ligatures w14:val="standardContextual"/>
              </w:rPr>
              <w:t>2022</w:t>
            </w:r>
          </w:p>
        </w:tc>
        <w:tc>
          <w:tcPr>
            <w:tcW w:w="558"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2</w:t>
            </w:r>
          </w:p>
        </w:tc>
        <w:tc>
          <w:tcPr>
            <w:tcW w:w="609"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2</w:t>
            </w:r>
          </w:p>
        </w:tc>
        <w:tc>
          <w:tcPr>
            <w:tcW w:w="547"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6,45</w:t>
            </w:r>
          </w:p>
        </w:tc>
        <w:tc>
          <w:tcPr>
            <w:tcW w:w="558"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4</w:t>
            </w:r>
          </w:p>
        </w:tc>
        <w:tc>
          <w:tcPr>
            <w:tcW w:w="609"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4</w:t>
            </w:r>
          </w:p>
        </w:tc>
        <w:tc>
          <w:tcPr>
            <w:tcW w:w="547"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0</w:t>
            </w:r>
          </w:p>
        </w:tc>
        <w:tc>
          <w:tcPr>
            <w:tcW w:w="566" w:type="pct"/>
            <w:shd w:val="clear" w:color="auto" w:fill="F1F1F1" w:themeFill="background1" w:themeFillShade="F2"/>
            <w:noWrap/>
            <w:vAlign w:val="center"/>
          </w:tcPr>
          <w:p>
            <w:pPr>
              <w:jc w:val="center"/>
              <w:rPr>
                <w:rFonts w:ascii="Arial" w:hAnsi="Arial" w:cs="Arial"/>
                <w:color w:val="000000"/>
                <w:kern w:val="2"/>
                <w:lang w:eastAsia="en-US"/>
                <w14:ligatures w14:val="standardContextual"/>
              </w:rPr>
            </w:pPr>
            <w:r>
              <w:rPr>
                <w:rFonts w:ascii="Arial" w:hAnsi="Arial" w:cs="Arial"/>
                <w:color w:val="000000"/>
                <w:kern w:val="2"/>
                <w:lang w:eastAsia="en-US"/>
                <w14:ligatures w14:val="standardContextual"/>
              </w:rPr>
              <w:t>10</w:t>
            </w:r>
          </w:p>
        </w:tc>
      </w:tr>
    </w:tbl>
    <w:p>
      <w:pPr>
        <w:spacing w:line="302" w:lineRule="exact"/>
        <w:rPr>
          <w:rFonts w:ascii="Arial" w:hAnsi="Arial" w:cs="Arial"/>
          <w:lang w:val="sr-Cyrl-RS"/>
        </w:rPr>
      </w:pPr>
      <w:r>
        <w:rPr>
          <w:rFonts w:ascii="Arial" w:hAnsi="Arial" w:cs="Arial"/>
          <w:lang w:val="sr-Cyrl-RS"/>
        </w:rPr>
        <w:t>Извор: РЗС Србије</w:t>
      </w:r>
    </w:p>
    <w:p>
      <w:pPr>
        <w:spacing w:line="302" w:lineRule="exact"/>
        <w:rPr>
          <w:rFonts w:ascii="Arial" w:hAnsi="Arial" w:cs="Arial"/>
          <w:lang w:val="sr-Cyrl-RS"/>
        </w:rPr>
      </w:pPr>
    </w:p>
    <w:p>
      <w:pPr>
        <w:jc w:val="both"/>
        <w:rPr>
          <w:rFonts w:ascii="Arial" w:hAnsi="Arial" w:cs="Arial"/>
          <w:lang w:val="sr-Cyrl-RS"/>
        </w:rPr>
      </w:pPr>
      <w:r>
        <w:rPr>
          <w:rFonts w:ascii="Arial" w:hAnsi="Arial" w:cs="Arial"/>
          <w:lang w:val="sr-Cyrl-RS"/>
        </w:rPr>
        <w:t>Оживљавање домаће туристичке активности 2021. године служи као обећавајући показатељ туристичког потенцијала општине Гаџин Хан. Међутим, накнадни нагли пад броја долазака 2022. године захтева детаљно испитивање основних фактора који су одговорни за овај др</w:t>
      </w:r>
      <w:r>
        <w:rPr>
          <w:rFonts w:ascii="Arial" w:hAnsi="Arial" w:cs="Arial"/>
          <w:lang w:val="sr-Latn-RS"/>
        </w:rPr>
        <w:t>a</w:t>
      </w:r>
      <w:r>
        <w:rPr>
          <w:rFonts w:ascii="Arial" w:hAnsi="Arial" w:cs="Arial"/>
          <w:lang w:val="sr-Cyrl-RS"/>
        </w:rPr>
        <w:t>стичан преокрет. Драстичан пад и броја долазака и ноћења, који прелази 90% у свакој категорији, наглашава велике изазове у одржавању конзистентног туристичког ангажмана у општини. Овакве драстичне флуктуације указују на хитну потребу за стратешком интервенцијом како би се идентификовали и адресирали фактори који доприносе овој нестабилности. Значајно смањење туристичких показатеља за 2022. сигнализира критичну тачку за туристичку привреду општине Гаџин Хан, која захтева свеобухватну процену њених промотивних стратегија, инфраструктурних капацитета и квалитета туристичких производа. Напори да се ојачају промотивне активности и искористе природна и културна добра овог подручја могу бити кључ за већу активацију туристичког сектора општине Гаџин Хан и подстицање одрживог туристичког развоја.</w:t>
      </w:r>
    </w:p>
    <w:p>
      <w:pPr>
        <w:spacing w:line="302" w:lineRule="exact"/>
        <w:rPr>
          <w:rFonts w:ascii="Arial" w:hAnsi="Arial"/>
          <w:lang w:val="sr-Cyrl-RS"/>
        </w:rPr>
      </w:pPr>
    </w:p>
    <w:p>
      <w:pPr>
        <w:rPr>
          <w:rFonts w:ascii="Arial" w:hAnsi="Arial"/>
          <w:lang w:val="sr-Cyrl-RS"/>
        </w:rPr>
      </w:pPr>
      <w:r>
        <w:rPr>
          <w:rFonts w:ascii="Arial" w:hAnsi="Arial"/>
          <w:lang w:val="sr-Cyrl-RS"/>
        </w:rPr>
        <w:br w:type="page"/>
      </w:r>
    </w:p>
    <w:p>
      <w:pPr>
        <w:pStyle w:val="3"/>
      </w:pPr>
    </w:p>
    <w:p>
      <w:pPr>
        <w:pStyle w:val="3"/>
      </w:pPr>
      <w:bookmarkStart w:id="63" w:name="_Toc159226526"/>
      <w:r>
        <w:rPr>
          <w:rFonts w:eastAsia="Arial"/>
        </w:rPr>
        <w:t>5.2. Организација туристичког сектора на нивоу туризма локалне самоуправе</w:t>
      </w:r>
      <w:bookmarkEnd w:id="63"/>
      <w:r>
        <w:rPr>
          <w:rFonts w:eastAsia="Arial"/>
        </w:rPr>
        <w:t xml:space="preserve"> </w:t>
      </w:r>
    </w:p>
    <w:p>
      <w:pPr>
        <w:spacing w:line="250" w:lineRule="exact"/>
        <w:rPr>
          <w:lang w:val="sr-Cyrl-RS"/>
        </w:rPr>
      </w:pPr>
    </w:p>
    <w:p>
      <w:pPr>
        <w:spacing w:line="273" w:lineRule="auto"/>
        <w:jc w:val="both"/>
        <w:rPr>
          <w:rFonts w:ascii="Arial" w:hAnsi="Arial" w:eastAsia="Arial"/>
          <w:lang w:val="sr-Cyrl-RS"/>
        </w:rPr>
      </w:pPr>
      <w:r>
        <w:rPr>
          <w:rFonts w:ascii="Arial" w:hAnsi="Arial" w:eastAsia="Arial"/>
          <w:lang w:val="sr-Cyrl-RS"/>
        </w:rPr>
        <w:t>Управљање туристичком дестинацијом је предуслов за успостављање партнерских односа у циљу заједничке добробити од туризма. У складу са законодавством Републике Србије управљач дестинацијом може бити туристичка организација (национална, регионална, локална) или дестинацијска менаџмент организација.</w:t>
      </w:r>
    </w:p>
    <w:p>
      <w:pPr>
        <w:spacing w:line="165" w:lineRule="exact"/>
        <w:rPr>
          <w:lang w:val="sr-Cyrl-RS"/>
        </w:rPr>
      </w:pPr>
    </w:p>
    <w:p>
      <w:pPr>
        <w:spacing w:line="0" w:lineRule="atLeast"/>
        <w:rPr>
          <w:rFonts w:ascii="Arial" w:hAnsi="Arial" w:eastAsia="Arial"/>
          <w:lang w:val="sr-Cyrl-RS"/>
        </w:rPr>
      </w:pPr>
      <w:r>
        <w:rPr>
          <w:rFonts w:ascii="Arial" w:hAnsi="Arial" w:eastAsia="Arial"/>
          <w:lang w:val="sr-Cyrl-RS"/>
        </w:rPr>
        <w:t>Интереси и циљеви циљних група су слични:</w:t>
      </w:r>
    </w:p>
    <w:p>
      <w:pPr>
        <w:spacing w:line="95" w:lineRule="exact"/>
        <w:rPr>
          <w:lang w:val="sr-Cyrl-RS"/>
        </w:rPr>
      </w:pPr>
    </w:p>
    <w:p>
      <w:pPr>
        <w:spacing w:line="272" w:lineRule="auto"/>
        <w:ind w:right="20"/>
        <w:jc w:val="both"/>
        <w:rPr>
          <w:rFonts w:ascii="Arial" w:hAnsi="Arial" w:eastAsia="Arial"/>
          <w:lang w:val="sr-Cyrl-RS"/>
        </w:rPr>
      </w:pPr>
      <w:r>
        <w:rPr>
          <w:rFonts w:ascii="Arial" w:hAnsi="Arial" w:eastAsia="Arial"/>
          <w:lang w:val="sr-Cyrl-RS"/>
        </w:rPr>
        <w:t>Локалној самоуправи је основни циљ задовољство грађана и континуитет у управљању, привреди повећање профита и квалитета услуге, а локалном становништву повећање квалитета животног стандарда и осећаја припадности и доприноса заједници.</w:t>
      </w:r>
    </w:p>
    <w:p>
      <w:pPr>
        <w:spacing w:line="163" w:lineRule="exact"/>
        <w:rPr>
          <w:lang w:val="sr-Cyrl-RS"/>
        </w:rPr>
      </w:pPr>
    </w:p>
    <w:p>
      <w:pPr>
        <w:spacing w:line="0" w:lineRule="atLeast"/>
        <w:rPr>
          <w:rFonts w:ascii="Arial" w:hAnsi="Arial" w:eastAsia="Arial"/>
          <w:lang w:val="sr-Cyrl-RS"/>
        </w:rPr>
      </w:pPr>
      <w:r>
        <w:rPr>
          <w:rFonts w:ascii="Arial" w:hAnsi="Arial" w:eastAsia="Arial"/>
          <w:lang w:val="sr-Cyrl-RS"/>
        </w:rPr>
        <w:t>Директни и индиректни управљачи на дестинацији:</w:t>
      </w:r>
    </w:p>
    <w:p>
      <w:pPr>
        <w:spacing w:line="95" w:lineRule="exact"/>
        <w:rPr>
          <w:lang w:val="sr-Cyrl-RS"/>
        </w:rPr>
      </w:pPr>
    </w:p>
    <w:p>
      <w:pPr>
        <w:numPr>
          <w:ilvl w:val="0"/>
          <w:numId w:val="18"/>
        </w:numPr>
        <w:tabs>
          <w:tab w:val="left" w:pos="260"/>
        </w:tabs>
        <w:spacing w:line="272" w:lineRule="auto"/>
        <w:ind w:right="20" w:firstLine="1"/>
        <w:jc w:val="both"/>
        <w:rPr>
          <w:rFonts w:ascii="Arial" w:hAnsi="Arial" w:eastAsia="Arial"/>
          <w:lang w:val="sr-Cyrl-RS"/>
        </w:rPr>
      </w:pPr>
      <w:r>
        <w:rPr>
          <w:rFonts w:ascii="Arial" w:hAnsi="Arial" w:eastAsia="Arial"/>
          <w:lang w:val="sr-Cyrl-RS"/>
        </w:rPr>
        <w:t>мају 1994. године донет је Закон о туризму Србије, а послови промоције и унапређења туризма су поверени Туристичкој организацији Србије (ТОС). Туристичка организација Србије је Национална организација и представља део државне (републичке) администрације.</w:t>
      </w:r>
    </w:p>
    <w:p>
      <w:pPr>
        <w:tabs>
          <w:tab w:val="left" w:pos="720"/>
        </w:tabs>
        <w:spacing w:line="0" w:lineRule="atLeast"/>
        <w:rPr>
          <w:lang w:val="sr-Cyrl-RS"/>
        </w:rPr>
      </w:pPr>
    </w:p>
    <w:p>
      <w:pPr>
        <w:spacing w:line="50" w:lineRule="exact"/>
        <w:rPr>
          <w:lang w:val="sr-Cyrl-RS"/>
        </w:rPr>
      </w:pPr>
    </w:p>
    <w:p>
      <w:pPr>
        <w:spacing w:line="273" w:lineRule="auto"/>
        <w:ind w:right="20"/>
        <w:jc w:val="both"/>
        <w:rPr>
          <w:rFonts w:ascii="Arial" w:hAnsi="Arial" w:eastAsia="Arial"/>
          <w:lang w:val="sr-Cyrl-RS"/>
        </w:rPr>
      </w:pPr>
      <w:r>
        <w:rPr>
          <w:rFonts w:ascii="Arial" w:hAnsi="Arial" w:eastAsia="Arial"/>
          <w:lang w:val="sr-Cyrl-RS"/>
        </w:rPr>
        <w:t>ТОС промовише Србију као обједињену дестинацију и пружа подршку локалним организацијама у учешћу на сајмовима и другим промотивним догађајима, организује едукације на регионалном нивоу, даје сагласност локалним туристичким организацијама на годишње програме рада и друго.</w:t>
      </w:r>
    </w:p>
    <w:p>
      <w:pPr>
        <w:spacing w:line="164" w:lineRule="exact"/>
        <w:rPr>
          <w:lang w:val="sr-Cyrl-RS"/>
        </w:rPr>
      </w:pPr>
    </w:p>
    <w:p>
      <w:pPr>
        <w:spacing w:line="0" w:lineRule="atLeast"/>
        <w:rPr>
          <w:rFonts w:ascii="Arial" w:hAnsi="Arial" w:eastAsia="Arial"/>
          <w:b/>
          <w:lang w:val="sr-Cyrl-RS"/>
        </w:rPr>
      </w:pPr>
      <w:r>
        <w:rPr>
          <w:rFonts w:ascii="Arial" w:hAnsi="Arial" w:eastAsia="Arial"/>
          <w:b/>
          <w:lang w:val="sr-Cyrl-RS"/>
        </w:rPr>
        <w:t>Локална самоуправа - Општина Гаџин Хан</w:t>
      </w:r>
    </w:p>
    <w:p>
      <w:pPr>
        <w:spacing w:line="95" w:lineRule="exact"/>
        <w:rPr>
          <w:lang w:val="sr-Cyrl-RS"/>
        </w:rPr>
      </w:pPr>
    </w:p>
    <w:p>
      <w:pPr>
        <w:spacing w:line="288" w:lineRule="auto"/>
        <w:ind w:right="20"/>
        <w:jc w:val="both"/>
        <w:rPr>
          <w:rFonts w:ascii="Arial" w:hAnsi="Arial" w:eastAsia="Arial"/>
          <w:sz w:val="23"/>
          <w:lang w:val="sr-Cyrl-RS"/>
        </w:rPr>
        <w:sectPr>
          <w:type w:val="continuous"/>
          <w:pgSz w:w="11900" w:h="16840"/>
          <w:pgMar w:top="707" w:right="1425" w:bottom="551" w:left="1440" w:header="0" w:footer="0" w:gutter="0"/>
          <w:cols w:equalWidth="0" w:num="1">
            <w:col w:w="9040"/>
          </w:cols>
          <w:docGrid w:linePitch="360" w:charSpace="0"/>
        </w:sectPr>
      </w:pPr>
      <w:r>
        <w:rPr>
          <w:rFonts w:ascii="Arial" w:hAnsi="Arial" w:eastAsia="Arial"/>
          <w:sz w:val="23"/>
          <w:lang w:val="sr-Cyrl-RS"/>
        </w:rPr>
        <w:t>Локална самоуправа настоји да планском политиком унапреди развој туризма у месту, што се може уочити кроз бројне позитивне примере деловања (мере подршке, инфраструктурни пројекти, стратешка документација и друго), у оквиру оних поља која су директно и индиректно везана за туристичку привреду. Неки од проблема са којима се суочава општина Гаџин Хан, као носилац развојне</w:t>
      </w:r>
    </w:p>
    <w:p>
      <w:pPr>
        <w:spacing w:line="272" w:lineRule="auto"/>
        <w:jc w:val="both"/>
        <w:rPr>
          <w:rFonts w:ascii="Arial" w:hAnsi="Arial" w:eastAsia="Arial"/>
          <w:lang w:val="sr-Cyrl-RS"/>
        </w:rPr>
      </w:pPr>
      <w:r>
        <w:rPr>
          <w:rFonts w:ascii="Arial" w:hAnsi="Arial" w:eastAsia="Arial"/>
          <w:lang w:val="sr-Cyrl-RS"/>
        </w:rPr>
        <w:t>политике, јесу недовољно изграђена инфраструктура, недовољна заштита и очување природних и друштвених ресурса, непостојање стандарда квалитета услуга и производа, недостатак смештаја и туристичких пакета, свакако највећи проблем је депопулација.</w:t>
      </w:r>
    </w:p>
    <w:p>
      <w:pPr>
        <w:spacing w:line="169" w:lineRule="exact"/>
        <w:rPr>
          <w:lang w:val="sr-Cyrl-RS"/>
        </w:rPr>
      </w:pPr>
    </w:p>
    <w:p>
      <w:pPr>
        <w:spacing w:line="0" w:lineRule="atLeast"/>
        <w:rPr>
          <w:rFonts w:ascii="Arial" w:hAnsi="Arial" w:eastAsia="Arial"/>
          <w:b/>
          <w:lang w:val="sr-Cyrl-RS"/>
        </w:rPr>
      </w:pPr>
      <w:r>
        <w:rPr>
          <w:rFonts w:ascii="Arial" w:hAnsi="Arial" w:eastAsia="Arial"/>
          <w:b/>
          <w:lang w:val="sr-Cyrl-RS"/>
        </w:rPr>
        <w:t>Туристичка организација јединица локалне самоуправе</w:t>
      </w:r>
    </w:p>
    <w:p>
      <w:pPr>
        <w:spacing w:line="90" w:lineRule="exact"/>
        <w:rPr>
          <w:lang w:val="sr-Cyrl-RS"/>
        </w:rPr>
      </w:pPr>
    </w:p>
    <w:p>
      <w:pPr>
        <w:spacing w:line="273" w:lineRule="auto"/>
        <w:ind w:right="20"/>
        <w:jc w:val="both"/>
        <w:rPr>
          <w:rFonts w:ascii="Arial" w:hAnsi="Arial" w:eastAsia="Arial"/>
          <w:lang w:val="sr-Cyrl-RS"/>
        </w:rPr>
      </w:pPr>
      <w:r>
        <w:rPr>
          <w:rFonts w:ascii="Arial" w:hAnsi="Arial" w:eastAsia="Arial"/>
          <w:lang w:val="sr-Cyrl-RS"/>
        </w:rPr>
        <w:t>Туристичка организација општине Гаџин Хан основана је одлуком општине у априлу 2008. године. ТОО Гаџин Хан је основана као посебна организација за бављење пословима промоције туризма, очувањем и заштитом туристичких вредности, стварање услова за пријем и боравак туриста.</w:t>
      </w:r>
    </w:p>
    <w:p>
      <w:pPr>
        <w:spacing w:line="124" w:lineRule="exact"/>
        <w:rPr>
          <w:lang w:val="sr-Cyrl-RS"/>
        </w:rPr>
      </w:pPr>
    </w:p>
    <w:p>
      <w:pPr>
        <w:spacing w:line="0" w:lineRule="atLeast"/>
        <w:rPr>
          <w:rFonts w:ascii="Arial" w:hAnsi="Arial" w:eastAsia="Arial"/>
          <w:lang w:val="sr-Cyrl-RS"/>
        </w:rPr>
      </w:pPr>
      <w:r>
        <w:rPr>
          <w:rFonts w:ascii="Arial" w:hAnsi="Arial" w:eastAsia="Arial"/>
          <w:lang w:val="sr-Cyrl-RS"/>
        </w:rPr>
        <w:t>Делокруг послова:</w:t>
      </w:r>
    </w:p>
    <w:p>
      <w:pPr>
        <w:spacing w:line="164" w:lineRule="exact"/>
        <w:rPr>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Унапређење и промоција туризма</w:t>
      </w:r>
    </w:p>
    <w:p>
      <w:pPr>
        <w:spacing w:line="39" w:lineRule="exact"/>
        <w:rPr>
          <w:rFonts w:ascii="Arial" w:hAnsi="Arial" w:eastAsia="Arial"/>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Подстицање програма изградње туристичке инфраструктуре</w:t>
      </w:r>
    </w:p>
    <w:p>
      <w:pPr>
        <w:spacing w:line="54" w:lineRule="exact"/>
        <w:rPr>
          <w:rFonts w:ascii="Arial" w:hAnsi="Arial" w:eastAsia="Arial"/>
          <w:lang w:val="sr-Cyrl-RS"/>
        </w:rPr>
      </w:pPr>
    </w:p>
    <w:p>
      <w:pPr>
        <w:numPr>
          <w:ilvl w:val="0"/>
          <w:numId w:val="19"/>
        </w:numPr>
        <w:tabs>
          <w:tab w:val="left" w:pos="720"/>
        </w:tabs>
        <w:spacing w:line="264" w:lineRule="auto"/>
        <w:ind w:left="720" w:right="20" w:hanging="359"/>
        <w:rPr>
          <w:rFonts w:ascii="Arial" w:hAnsi="Arial" w:eastAsia="Arial"/>
          <w:lang w:val="sr-Cyrl-RS"/>
        </w:rPr>
      </w:pPr>
      <w:r>
        <w:rPr>
          <w:rFonts w:ascii="Arial" w:hAnsi="Arial" w:eastAsia="Arial"/>
          <w:lang w:val="sr-Cyrl-RS"/>
        </w:rPr>
        <w:t>Координирање активности и сарадње између привредних и других субјеката</w:t>
      </w:r>
    </w:p>
    <w:p>
      <w:pPr>
        <w:spacing w:line="17" w:lineRule="exact"/>
        <w:rPr>
          <w:rFonts w:ascii="Arial" w:hAnsi="Arial" w:eastAsia="Arial"/>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Доношење годишњег програма и плана промотивних активности</w:t>
      </w:r>
    </w:p>
    <w:p>
      <w:pPr>
        <w:spacing w:line="39" w:lineRule="exact"/>
        <w:rPr>
          <w:rFonts w:ascii="Arial" w:hAnsi="Arial" w:eastAsia="Arial"/>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Обезбеђивање информативно промотивног материјала</w:t>
      </w:r>
    </w:p>
    <w:p>
      <w:pPr>
        <w:spacing w:line="44" w:lineRule="exact"/>
        <w:rPr>
          <w:rFonts w:ascii="Arial" w:hAnsi="Arial" w:eastAsia="Arial"/>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Прикупљање и објављивање информација</w:t>
      </w:r>
    </w:p>
    <w:p>
      <w:pPr>
        <w:spacing w:line="39" w:lineRule="exact"/>
        <w:rPr>
          <w:rFonts w:ascii="Arial" w:hAnsi="Arial" w:eastAsia="Arial"/>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Организовање манифестација</w:t>
      </w:r>
    </w:p>
    <w:p>
      <w:pPr>
        <w:spacing w:line="55" w:lineRule="exact"/>
        <w:rPr>
          <w:rFonts w:ascii="Arial" w:hAnsi="Arial" w:eastAsia="Arial"/>
          <w:lang w:val="sr-Cyrl-RS"/>
        </w:rPr>
      </w:pPr>
    </w:p>
    <w:p>
      <w:pPr>
        <w:numPr>
          <w:ilvl w:val="0"/>
          <w:numId w:val="19"/>
        </w:numPr>
        <w:tabs>
          <w:tab w:val="left" w:pos="720"/>
        </w:tabs>
        <w:spacing w:line="264" w:lineRule="auto"/>
        <w:ind w:left="720" w:right="20" w:hanging="359"/>
        <w:rPr>
          <w:rFonts w:ascii="Arial" w:hAnsi="Arial" w:eastAsia="Arial"/>
          <w:lang w:val="sr-Cyrl-RS"/>
        </w:rPr>
      </w:pPr>
      <w:r>
        <w:rPr>
          <w:rFonts w:ascii="Arial" w:hAnsi="Arial" w:eastAsia="Arial"/>
          <w:lang w:val="sr-Cyrl-RS"/>
        </w:rPr>
        <w:t>Формирање туристичко-информативних центара управљача туристичког простора</w:t>
      </w:r>
    </w:p>
    <w:p>
      <w:pPr>
        <w:spacing w:line="22" w:lineRule="exact"/>
        <w:rPr>
          <w:rFonts w:ascii="Arial" w:hAnsi="Arial" w:eastAsia="Arial"/>
          <w:lang w:val="sr-Cyrl-RS"/>
        </w:rPr>
      </w:pPr>
    </w:p>
    <w:p>
      <w:pPr>
        <w:numPr>
          <w:ilvl w:val="0"/>
          <w:numId w:val="19"/>
        </w:numPr>
        <w:tabs>
          <w:tab w:val="left" w:pos="720"/>
        </w:tabs>
        <w:spacing w:line="268" w:lineRule="auto"/>
        <w:ind w:left="720" w:right="20" w:hanging="359"/>
        <w:rPr>
          <w:rFonts w:ascii="Arial" w:hAnsi="Arial" w:eastAsia="Arial"/>
          <w:lang w:val="sr-Cyrl-RS"/>
        </w:rPr>
      </w:pPr>
      <w:r>
        <w:rPr>
          <w:rFonts w:ascii="Arial" w:hAnsi="Arial" w:eastAsia="Arial"/>
          <w:lang w:val="sr-Cyrl-RS"/>
        </w:rPr>
        <w:t>Посредовања у пружању услуга у домаћој радиности и сеоском туристичком домаћинству</w:t>
      </w:r>
    </w:p>
    <w:p>
      <w:pPr>
        <w:spacing w:line="18" w:lineRule="exact"/>
        <w:rPr>
          <w:rFonts w:ascii="Arial" w:hAnsi="Arial" w:eastAsia="Arial"/>
          <w:lang w:val="sr-Cyrl-RS"/>
        </w:rPr>
      </w:pPr>
    </w:p>
    <w:p>
      <w:pPr>
        <w:numPr>
          <w:ilvl w:val="0"/>
          <w:numId w:val="19"/>
        </w:numPr>
        <w:tabs>
          <w:tab w:val="left" w:pos="720"/>
        </w:tabs>
        <w:spacing w:line="269" w:lineRule="auto"/>
        <w:ind w:left="720" w:right="20" w:hanging="359"/>
        <w:rPr>
          <w:rFonts w:ascii="Arial" w:hAnsi="Arial" w:eastAsia="Arial"/>
          <w:lang w:val="sr-Cyrl-RS"/>
        </w:rPr>
      </w:pPr>
      <w:r>
        <w:rPr>
          <w:rFonts w:ascii="Arial" w:hAnsi="Arial" w:eastAsia="Arial"/>
          <w:lang w:val="sr-Cyrl-RS"/>
        </w:rPr>
        <w:t>Израде и реализације домаћих и међународних пројеката из области туризма</w:t>
      </w:r>
    </w:p>
    <w:p>
      <w:pPr>
        <w:spacing w:line="6" w:lineRule="exact"/>
        <w:rPr>
          <w:rFonts w:ascii="Arial" w:hAnsi="Arial" w:eastAsia="Arial"/>
          <w:lang w:val="sr-Cyrl-RS"/>
        </w:rPr>
      </w:pPr>
    </w:p>
    <w:p>
      <w:pPr>
        <w:numPr>
          <w:ilvl w:val="0"/>
          <w:numId w:val="19"/>
        </w:numPr>
        <w:tabs>
          <w:tab w:val="left" w:pos="720"/>
        </w:tabs>
        <w:spacing w:line="0" w:lineRule="atLeast"/>
        <w:ind w:left="720" w:hanging="359"/>
        <w:rPr>
          <w:rFonts w:ascii="Arial" w:hAnsi="Arial" w:eastAsia="Arial"/>
          <w:lang w:val="sr-Cyrl-RS"/>
        </w:rPr>
      </w:pPr>
      <w:r>
        <w:rPr>
          <w:rFonts w:ascii="Arial" w:hAnsi="Arial" w:eastAsia="Arial"/>
          <w:lang w:val="sr-Cyrl-RS"/>
        </w:rPr>
        <w:t>Припреме  и  прикупљања  података,  састављање  упитника,  анализа  и</w:t>
      </w:r>
    </w:p>
    <w:p>
      <w:pPr>
        <w:spacing w:line="55" w:lineRule="exact"/>
        <w:rPr>
          <w:lang w:val="sr-Cyrl-RS"/>
        </w:rPr>
      </w:pPr>
    </w:p>
    <w:p>
      <w:pPr>
        <w:spacing w:line="264" w:lineRule="auto"/>
        <w:ind w:left="720" w:right="20"/>
        <w:rPr>
          <w:rFonts w:ascii="Arial" w:hAnsi="Arial" w:eastAsia="Arial"/>
          <w:lang w:val="sr-Cyrl-RS"/>
        </w:rPr>
      </w:pPr>
      <w:r>
        <w:rPr>
          <w:rFonts w:ascii="Arial" w:hAnsi="Arial" w:eastAsia="Arial"/>
          <w:lang w:val="sr-Cyrl-RS"/>
        </w:rPr>
        <w:t>других информација, као и друге активности у складу са законом, оснивачким актом и статутом.</w:t>
      </w:r>
    </w:p>
    <w:p>
      <w:pPr>
        <w:spacing w:line="28" w:lineRule="exact"/>
        <w:rPr>
          <w:lang w:val="sr-Cyrl-RS"/>
        </w:rPr>
      </w:pPr>
    </w:p>
    <w:p>
      <w:pPr>
        <w:spacing w:line="271" w:lineRule="auto"/>
        <w:ind w:right="20"/>
        <w:jc w:val="both"/>
        <w:rPr>
          <w:rFonts w:ascii="Arial" w:hAnsi="Arial" w:eastAsia="Arial"/>
          <w:lang w:val="sr-Cyrl-RS"/>
        </w:rPr>
      </w:pPr>
      <w:r>
        <w:rPr>
          <w:rFonts w:ascii="Arial" w:hAnsi="Arial" w:eastAsia="Arial"/>
          <w:lang w:val="sr-Cyrl-RS"/>
        </w:rPr>
        <w:t>Увидом у Правилник о организацији и систематизацији послова Туристичке организације општине Гаџин Хан, установљено је да организација располаже са 2 стално запослена распоређених у организационе делове:</w:t>
      </w:r>
    </w:p>
    <w:p>
      <w:pPr>
        <w:spacing w:line="125" w:lineRule="exact"/>
        <w:rPr>
          <w:lang w:val="sr-Cyrl-RS"/>
        </w:rPr>
      </w:pPr>
    </w:p>
    <w:p>
      <w:pPr>
        <w:numPr>
          <w:ilvl w:val="0"/>
          <w:numId w:val="20"/>
        </w:numPr>
        <w:tabs>
          <w:tab w:val="left" w:pos="720"/>
        </w:tabs>
        <w:spacing w:line="0" w:lineRule="atLeast"/>
        <w:ind w:left="720" w:hanging="359"/>
        <w:rPr>
          <w:rFonts w:ascii="Arial" w:hAnsi="Arial" w:eastAsia="Arial"/>
          <w:lang w:val="sr-Cyrl-RS"/>
        </w:rPr>
      </w:pPr>
      <w:r>
        <w:rPr>
          <w:rFonts w:ascii="Arial" w:hAnsi="Arial" w:eastAsia="Arial"/>
          <w:lang w:val="sr-Cyrl-RS"/>
        </w:rPr>
        <w:t>Директор</w:t>
      </w:r>
    </w:p>
    <w:p>
      <w:pPr>
        <w:spacing w:line="203" w:lineRule="exact"/>
        <w:rPr>
          <w:rFonts w:ascii="Arial" w:hAnsi="Arial" w:eastAsia="Arial"/>
          <w:lang w:val="sr-Cyrl-RS"/>
        </w:rPr>
      </w:pPr>
    </w:p>
    <w:p>
      <w:pPr>
        <w:numPr>
          <w:ilvl w:val="0"/>
          <w:numId w:val="20"/>
        </w:numPr>
        <w:tabs>
          <w:tab w:val="left" w:pos="720"/>
        </w:tabs>
        <w:spacing w:line="0" w:lineRule="atLeast"/>
        <w:ind w:left="720" w:hanging="359"/>
        <w:rPr>
          <w:rFonts w:ascii="Arial" w:hAnsi="Arial" w:eastAsia="Arial"/>
          <w:lang w:val="sr-Cyrl-RS"/>
        </w:rPr>
      </w:pPr>
      <w:r>
        <w:rPr>
          <w:rFonts w:ascii="Arial" w:hAnsi="Arial" w:eastAsia="Arial"/>
          <w:lang w:val="sr-Cyrl-RS"/>
        </w:rPr>
        <w:t>Реализатор активности на пројектима у туризму.</w:t>
      </w:r>
    </w:p>
    <w:p>
      <w:pPr>
        <w:spacing w:line="275" w:lineRule="exact"/>
        <w:rPr>
          <w:lang w:val="sr-Cyrl-RS"/>
        </w:rPr>
      </w:pPr>
    </w:p>
    <w:p>
      <w:pPr>
        <w:spacing w:line="274" w:lineRule="auto"/>
        <w:jc w:val="both"/>
        <w:rPr>
          <w:rFonts w:ascii="Arial" w:hAnsi="Arial" w:eastAsia="Arial"/>
          <w:lang w:val="sr-Cyrl-RS"/>
        </w:rPr>
      </w:pPr>
      <w:r>
        <w:rPr>
          <w:rFonts w:ascii="Arial" w:hAnsi="Arial" w:eastAsia="Arial"/>
          <w:lang w:val="sr-Cyrl-RS"/>
        </w:rPr>
        <w:t>Правилник о организацији и систематизацији послова Туристичке организације општине Гаџин Хан је усаглашен у складу са Уредбом о Каталогу радних места у јавним службама и другим организацијама у јавном сектору("Сл. гласник РС", бр. 81/2017, 6/2018 и 43/2018). Овом уредбом утврђују се попис радних места, њихови општи/типични описи и захтеви за њихово обављање у јавним службама, у другим јавним службама које је основала Република Србија, аутономна покрајина и јединица локалне самоуправе, а које су директни или индиректни корисници буџета.</w:t>
      </w:r>
    </w:p>
    <w:p>
      <w:pPr>
        <w:spacing w:line="375" w:lineRule="exact"/>
        <w:rPr>
          <w:lang w:val="sr-Cyrl-RS"/>
        </w:rPr>
      </w:pPr>
    </w:p>
    <w:p>
      <w:pPr>
        <w:spacing w:line="0" w:lineRule="atLeast"/>
        <w:ind w:left="8780"/>
        <w:rPr>
          <w:lang w:val="sr-Cyrl-RS"/>
        </w:rPr>
        <w:sectPr>
          <w:pgSz w:w="11900" w:h="16840"/>
          <w:pgMar w:top="707" w:right="1425" w:bottom="551" w:left="1440" w:header="0" w:footer="0" w:gutter="0"/>
          <w:cols w:equalWidth="0" w:num="1">
            <w:col w:w="9040"/>
          </w:cols>
          <w:docGrid w:linePitch="360" w:charSpace="0"/>
        </w:sectPr>
      </w:pPr>
    </w:p>
    <w:p>
      <w:pPr>
        <w:spacing w:line="276" w:lineRule="auto"/>
        <w:jc w:val="both"/>
        <w:rPr>
          <w:lang w:val="sr-Cyrl-RS"/>
        </w:rPr>
      </w:pPr>
    </w:p>
    <w:p>
      <w:pPr>
        <w:spacing w:line="276" w:lineRule="auto"/>
        <w:jc w:val="both"/>
        <w:rPr>
          <w:lang w:val="sr-Cyrl-RS"/>
        </w:rPr>
      </w:pPr>
    </w:p>
    <w:p>
      <w:pPr>
        <w:spacing w:line="276" w:lineRule="auto"/>
        <w:jc w:val="both"/>
        <w:rPr>
          <w:rFonts w:ascii="Arial" w:hAnsi="Arial" w:eastAsia="Arial"/>
          <w:lang w:val="sr-Cyrl-RS"/>
        </w:rPr>
      </w:pPr>
      <w:r>
        <w:rPr>
          <w:rFonts w:ascii="Arial" w:hAnsi="Arial" w:eastAsia="Arial"/>
          <w:lang w:val="sr-Cyrl-RS"/>
        </w:rPr>
        <w:t>На основу обрађеног Упитника који су консултанти саставили у циљу добијања јасне слике о активностима и деловању локалне туристичке организације, добијени резултати указују да Туристичка организација Гаџин Хан највише пажње у пословању усмерава на организацију локалних манифестација, те штампање брошура, док комуникација и дизајн вредности још увек не одговарају праксама модерних дестинација.</w:t>
      </w:r>
    </w:p>
    <w:p>
      <w:pPr>
        <w:spacing w:line="141" w:lineRule="exact"/>
        <w:rPr>
          <w:lang w:val="sr-Cyrl-RS"/>
        </w:rPr>
      </w:pPr>
    </w:p>
    <w:p>
      <w:pPr>
        <w:spacing w:line="287" w:lineRule="auto"/>
        <w:jc w:val="both"/>
        <w:rPr>
          <w:rFonts w:ascii="Arial" w:hAnsi="Arial" w:eastAsia="Arial"/>
          <w:lang w:val="sr-Cyrl-RS"/>
        </w:rPr>
      </w:pPr>
      <w:r>
        <w:rPr>
          <w:rFonts w:ascii="Arial" w:hAnsi="Arial" w:eastAsia="Arial"/>
          <w:lang w:val="sr-Cyrl-RS"/>
        </w:rPr>
        <w:t>Локалне туристичке организације могу имати значајну улогу у унапређењу, развоју и менаџменту туризма дестинације кроз обезбеђење нових, иновативних производа за посетиоце, као и кроз маркетинг кампању преко различитих медија, да би се нагласила култура и подизала репутација дестинације.</w:t>
      </w:r>
    </w:p>
    <w:p>
      <w:pPr>
        <w:spacing w:line="126" w:lineRule="exact"/>
        <w:rPr>
          <w:lang w:val="sr-Cyrl-RS"/>
        </w:rPr>
      </w:pPr>
    </w:p>
    <w:p>
      <w:pPr>
        <w:tabs>
          <w:tab w:val="left" w:pos="380"/>
        </w:tabs>
        <w:spacing w:line="271" w:lineRule="auto"/>
        <w:ind w:left="1" w:right="20"/>
        <w:jc w:val="both"/>
        <w:rPr>
          <w:rFonts w:ascii="Arial" w:hAnsi="Arial" w:eastAsia="Arial"/>
          <w:lang w:val="sr-Cyrl-RS"/>
        </w:rPr>
      </w:pPr>
      <w:r>
        <w:rPr>
          <w:rFonts w:ascii="Arial" w:hAnsi="Arial" w:eastAsia="Arial"/>
          <w:lang w:val="sr-Cyrl-RS"/>
        </w:rPr>
        <w:t>У пракси се сусрећемо са највећим процентом локалних туристичких организација које су фокусиране искључиво на промоцију и не баве се креирањем и развојем туристичких производа, спровођењем стратегија развоја и слично, што је случај и са Туристичком организацијом Гаџин Хан.</w:t>
      </w:r>
    </w:p>
    <w:p>
      <w:pPr>
        <w:spacing w:line="124" w:lineRule="exact"/>
        <w:rPr>
          <w:lang w:val="sr-Cyrl-RS"/>
        </w:rPr>
      </w:pPr>
    </w:p>
    <w:p>
      <w:pPr>
        <w:spacing w:line="0" w:lineRule="atLeast"/>
        <w:rPr>
          <w:rFonts w:ascii="Arial" w:hAnsi="Arial" w:eastAsia="Arial"/>
          <w:lang w:val="sr-Cyrl-RS"/>
        </w:rPr>
      </w:pPr>
      <w:r>
        <w:rPr>
          <w:rFonts w:ascii="Arial" w:hAnsi="Arial" w:eastAsia="Arial"/>
          <w:lang w:val="sr-Cyrl-RS"/>
        </w:rPr>
        <w:t xml:space="preserve">Уочени су следећи основни </w:t>
      </w:r>
      <w:r>
        <w:rPr>
          <w:rFonts w:ascii="Arial" w:hAnsi="Arial" w:eastAsia="Arial"/>
          <w:b/>
          <w:lang w:val="sr-Cyrl-RS"/>
        </w:rPr>
        <w:t>недостаци</w:t>
      </w:r>
      <w:r>
        <w:rPr>
          <w:rFonts w:ascii="Arial" w:hAnsi="Arial" w:eastAsia="Arial"/>
          <w:lang w:val="sr-Cyrl-RS"/>
        </w:rPr>
        <w:t>:</w:t>
      </w:r>
    </w:p>
    <w:p>
      <w:pPr>
        <w:spacing w:line="278" w:lineRule="exact"/>
        <w:rPr>
          <w:lang w:val="sr-Cyrl-RS"/>
        </w:rPr>
      </w:pPr>
    </w:p>
    <w:p>
      <w:pPr>
        <w:numPr>
          <w:ilvl w:val="0"/>
          <w:numId w:val="21"/>
        </w:numPr>
        <w:tabs>
          <w:tab w:val="left" w:pos="720"/>
        </w:tabs>
        <w:spacing w:line="0" w:lineRule="atLeast"/>
        <w:ind w:left="720" w:hanging="359"/>
        <w:rPr>
          <w:lang w:val="sr-Cyrl-RS"/>
        </w:rPr>
      </w:pPr>
      <w:r>
        <w:rPr>
          <w:rFonts w:ascii="Arial" w:hAnsi="Arial" w:eastAsia="Arial"/>
          <w:lang w:val="sr-Cyrl-RS"/>
        </w:rPr>
        <w:t>Лоша техничка оспособљеност</w:t>
      </w:r>
    </w:p>
    <w:p>
      <w:pPr>
        <w:numPr>
          <w:ilvl w:val="0"/>
          <w:numId w:val="21"/>
        </w:numPr>
        <w:tabs>
          <w:tab w:val="left" w:pos="720"/>
        </w:tabs>
        <w:spacing w:line="238" w:lineRule="auto"/>
        <w:ind w:left="720" w:hanging="359"/>
        <w:rPr>
          <w:lang w:val="sr-Cyrl-RS"/>
        </w:rPr>
      </w:pPr>
      <w:r>
        <w:rPr>
          <w:rFonts w:ascii="Arial" w:hAnsi="Arial" w:eastAsia="Arial"/>
          <w:lang w:val="sr-Cyrl-RS"/>
        </w:rPr>
        <w:t>Слаба координација туристичких субјеката</w:t>
      </w:r>
    </w:p>
    <w:p>
      <w:pPr>
        <w:spacing w:line="9" w:lineRule="exact"/>
        <w:rPr>
          <w:lang w:val="sr-Cyrl-RS"/>
        </w:rPr>
      </w:pPr>
    </w:p>
    <w:p>
      <w:pPr>
        <w:numPr>
          <w:ilvl w:val="0"/>
          <w:numId w:val="21"/>
        </w:numPr>
        <w:tabs>
          <w:tab w:val="left" w:pos="720"/>
        </w:tabs>
        <w:spacing w:line="234" w:lineRule="auto"/>
        <w:ind w:left="720" w:right="20" w:hanging="359"/>
        <w:rPr>
          <w:lang w:val="sr-Cyrl-RS"/>
        </w:rPr>
      </w:pPr>
      <w:r>
        <w:rPr>
          <w:rFonts w:ascii="Arial" w:hAnsi="Arial" w:eastAsia="Arial"/>
          <w:lang w:val="sr-Cyrl-RS"/>
        </w:rPr>
        <w:t>Слаба кадровска оспособљеност ( језици, начин пружања информација, изглед, рад на пројектима)</w:t>
      </w:r>
    </w:p>
    <w:p>
      <w:pPr>
        <w:spacing w:line="10" w:lineRule="exact"/>
        <w:rPr>
          <w:lang w:val="sr-Cyrl-RS"/>
        </w:rPr>
      </w:pPr>
    </w:p>
    <w:p>
      <w:pPr>
        <w:numPr>
          <w:ilvl w:val="0"/>
          <w:numId w:val="21"/>
        </w:numPr>
        <w:tabs>
          <w:tab w:val="left" w:pos="720"/>
        </w:tabs>
        <w:spacing w:line="236" w:lineRule="auto"/>
        <w:ind w:left="720" w:right="20" w:hanging="359"/>
        <w:rPr>
          <w:lang w:val="sr-Cyrl-RS"/>
        </w:rPr>
      </w:pPr>
      <w:r>
        <w:rPr>
          <w:rFonts w:ascii="Arial" w:hAnsi="Arial" w:eastAsia="Arial"/>
          <w:lang w:val="sr-Cyrl-RS"/>
        </w:rPr>
        <w:t>Неадекватан промотивни материјал (недостатак униформности, квалитет)</w:t>
      </w:r>
    </w:p>
    <w:p>
      <w:pPr>
        <w:spacing w:line="1" w:lineRule="exact"/>
        <w:rPr>
          <w:lang w:val="sr-Cyrl-RS"/>
        </w:rPr>
      </w:pPr>
    </w:p>
    <w:p>
      <w:pPr>
        <w:numPr>
          <w:ilvl w:val="0"/>
          <w:numId w:val="21"/>
        </w:numPr>
        <w:tabs>
          <w:tab w:val="left" w:pos="720"/>
        </w:tabs>
        <w:spacing w:line="238" w:lineRule="auto"/>
        <w:ind w:left="720" w:hanging="359"/>
        <w:rPr>
          <w:lang w:val="sr-Cyrl-RS"/>
        </w:rPr>
      </w:pPr>
      <w:r>
        <w:rPr>
          <w:rFonts w:ascii="Arial" w:hAnsi="Arial" w:eastAsia="Arial"/>
          <w:lang w:val="sr-Cyrl-RS"/>
        </w:rPr>
        <w:t>Велика зависност од политичких субјеката</w:t>
      </w:r>
    </w:p>
    <w:p>
      <w:pPr>
        <w:spacing w:line="275" w:lineRule="exact"/>
        <w:rPr>
          <w:lang w:val="sr-Cyrl-RS"/>
        </w:rPr>
      </w:pPr>
    </w:p>
    <w:p>
      <w:pPr>
        <w:spacing w:line="0" w:lineRule="atLeast"/>
        <w:rPr>
          <w:rFonts w:ascii="Arial" w:hAnsi="Arial" w:eastAsia="Arial"/>
          <w:lang w:val="sr-Cyrl-RS"/>
        </w:rPr>
      </w:pPr>
      <w:r>
        <w:rPr>
          <w:rFonts w:ascii="Arial" w:hAnsi="Arial" w:eastAsia="Arial"/>
          <w:lang w:val="sr-Cyrl-RS"/>
        </w:rPr>
        <w:t xml:space="preserve">Могућа </w:t>
      </w:r>
      <w:r>
        <w:rPr>
          <w:rFonts w:ascii="Arial" w:hAnsi="Arial" w:eastAsia="Arial"/>
          <w:b/>
          <w:lang w:val="sr-Cyrl-RS"/>
        </w:rPr>
        <w:t>решења</w:t>
      </w:r>
      <w:r>
        <w:rPr>
          <w:rFonts w:ascii="Arial" w:hAnsi="Arial" w:eastAsia="Arial"/>
          <w:lang w:val="sr-Cyrl-RS"/>
        </w:rPr>
        <w:t>:</w:t>
      </w:r>
    </w:p>
    <w:p>
      <w:pPr>
        <w:spacing w:line="278" w:lineRule="exact"/>
        <w:rPr>
          <w:lang w:val="sr-Cyrl-RS"/>
        </w:rPr>
      </w:pPr>
    </w:p>
    <w:p>
      <w:pPr>
        <w:numPr>
          <w:ilvl w:val="0"/>
          <w:numId w:val="22"/>
        </w:numPr>
        <w:tabs>
          <w:tab w:val="left" w:pos="720"/>
        </w:tabs>
        <w:spacing w:line="0" w:lineRule="atLeast"/>
        <w:ind w:left="720" w:hanging="359"/>
        <w:rPr>
          <w:lang w:val="sr-Cyrl-RS"/>
        </w:rPr>
      </w:pPr>
      <w:r>
        <w:rPr>
          <w:rFonts w:ascii="Arial" w:hAnsi="Arial" w:eastAsia="Arial"/>
          <w:lang w:val="sr-Cyrl-RS"/>
        </w:rPr>
        <w:t>Креирање јединствене базе података (онлине боокинг)</w:t>
      </w:r>
    </w:p>
    <w:p>
      <w:pPr>
        <w:numPr>
          <w:ilvl w:val="0"/>
          <w:numId w:val="22"/>
        </w:numPr>
        <w:tabs>
          <w:tab w:val="left" w:pos="720"/>
        </w:tabs>
        <w:spacing w:line="238" w:lineRule="auto"/>
        <w:ind w:left="720" w:hanging="359"/>
        <w:rPr>
          <w:lang w:val="sr-Cyrl-RS"/>
        </w:rPr>
      </w:pPr>
      <w:r>
        <w:rPr>
          <w:rFonts w:ascii="Arial" w:hAnsi="Arial" w:eastAsia="Arial"/>
          <w:lang w:val="sr-Cyrl-RS"/>
        </w:rPr>
        <w:t>Едукација кадрова у туризму</w:t>
      </w:r>
    </w:p>
    <w:p>
      <w:pPr>
        <w:numPr>
          <w:ilvl w:val="0"/>
          <w:numId w:val="22"/>
        </w:numPr>
        <w:tabs>
          <w:tab w:val="left" w:pos="720"/>
        </w:tabs>
        <w:spacing w:line="238" w:lineRule="auto"/>
        <w:ind w:left="720" w:hanging="359"/>
        <w:rPr>
          <w:lang w:val="sr-Cyrl-RS"/>
        </w:rPr>
      </w:pPr>
      <w:r>
        <w:rPr>
          <w:rFonts w:ascii="Arial" w:hAnsi="Arial" w:eastAsia="Arial"/>
          <w:lang w:val="sr-Cyrl-RS"/>
        </w:rPr>
        <w:t>Униформисање брошура и сувенира</w:t>
      </w:r>
    </w:p>
    <w:p>
      <w:pPr>
        <w:spacing w:line="10" w:lineRule="exact"/>
        <w:rPr>
          <w:lang w:val="sr-Cyrl-RS"/>
        </w:rPr>
      </w:pPr>
    </w:p>
    <w:p>
      <w:pPr>
        <w:numPr>
          <w:ilvl w:val="0"/>
          <w:numId w:val="22"/>
        </w:numPr>
        <w:tabs>
          <w:tab w:val="left" w:pos="720"/>
        </w:tabs>
        <w:spacing w:line="234" w:lineRule="auto"/>
        <w:ind w:left="720" w:right="20" w:hanging="359"/>
        <w:rPr>
          <w:lang w:val="sr-Cyrl-RS"/>
        </w:rPr>
      </w:pPr>
      <w:r>
        <w:rPr>
          <w:rFonts w:ascii="Arial" w:hAnsi="Arial" w:eastAsia="Arial"/>
          <w:lang w:val="sr-Cyrl-RS"/>
        </w:rPr>
        <w:t>Оснивање Дестинацијске менаџмент организације и/или боље умрежавање са већим организацијама (ТО Ниш, ТО Лесковац и друге)</w:t>
      </w:r>
    </w:p>
    <w:p>
      <w:pPr>
        <w:spacing w:line="302" w:lineRule="exact"/>
        <w:rPr>
          <w:rFonts w:ascii="Arial" w:hAnsi="Arial"/>
          <w:lang w:val="sr-Cyrl-RS"/>
        </w:rPr>
      </w:pPr>
    </w:p>
    <w:p>
      <w:pPr>
        <w:pStyle w:val="3"/>
      </w:pPr>
      <w:bookmarkStart w:id="64" w:name="_Toc159226527"/>
      <w:r>
        <w:t>5.3. Анализа туристичких производа и активности унапређења општине Гаџин Хан</w:t>
      </w:r>
      <w:bookmarkEnd w:id="64"/>
    </w:p>
    <w:p>
      <w:pPr>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Портфолио туристичких производа дестинације Гаџин Хан креиран је анализом постојећих стратешких документа и маркетиншких планова Србије, Града Ниша и Заплања, а такође, разговором и спровођењем анкета са представницима Општине Гаџин Хан, туристичке организације, као и локалним партнерима (енг. стакехолдерс). На његово дефинисање утицали су постојећи материјални и нематеријални елементи дестинације, као што су природни, културни и ресурси које је створио човек, атракције, објекти, услуге и активности, а такође и саобраћајна инфраструктура, нарочито везана за производе транзитног туризма. </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У следећим табелама приказани су туристички производи дестинације Гаџин Хан са кратким описима и предностима које треба искористити за бржи развој, као и манама које за које треба пронаћи решења описана у мерама и активностима тачка 5.6  овог документа. </w:t>
      </w:r>
    </w:p>
    <w:p>
      <w:pPr>
        <w:pStyle w:val="28"/>
        <w:spacing w:before="0" w:beforeAutospacing="0" w:after="0" w:afterAutospacing="0" w:line="276" w:lineRule="auto"/>
        <w:rPr>
          <w:rFonts w:ascii="Arial" w:hAnsi="Arial" w:cs="Arial"/>
          <w:color w:val="000000" w:themeColor="text1"/>
          <w:lang w:val="sr-Cyrl-RS"/>
          <w14:textFill>
            <w14:solidFill>
              <w14:schemeClr w14:val="tx1"/>
            </w14:solidFill>
          </w14:textFill>
        </w:rPr>
      </w:pPr>
    </w:p>
    <w:p>
      <w:pPr>
        <w:pStyle w:val="28"/>
        <w:spacing w:before="0" w:beforeAutospacing="0" w:after="0" w:afterAutospacing="0" w:line="276" w:lineRule="auto"/>
        <w:rPr>
          <w:rFonts w:ascii="Arial" w:hAnsi="Arial" w:cs="Arial"/>
          <w:color w:val="000000" w:themeColor="text1"/>
          <w:lang w:val="sr-Cyrl-RS"/>
          <w14:textFill>
            <w14:solidFill>
              <w14:schemeClr w14:val="tx1"/>
            </w14:solidFill>
          </w14:textFill>
        </w:rPr>
      </w:pPr>
    </w:p>
    <w:p>
      <w:pPr>
        <w:pStyle w:val="28"/>
        <w:spacing w:before="0" w:beforeAutospacing="0" w:after="0" w:afterAutospacing="0" w:line="276" w:lineRule="auto"/>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ПЛАНИНСКИ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015" w:type="dxa"/>
            <w:shd w:val="clear" w:color="auto" w:fill="E7E6E6" w:themeFill="background2"/>
          </w:tcPr>
          <w:p>
            <w:pPr>
              <w:pStyle w:val="28"/>
              <w:spacing w:before="0" w:beforeAutospacing="0" w:after="0" w:afterAutospacing="0" w:line="276" w:lineRule="auto"/>
              <w:jc w:val="both"/>
              <w:rPr>
                <w:rFonts w:ascii="Arial" w:hAnsi="Arial" w:cs="Arial"/>
                <w:color w:val="000000" w:themeColor="text1"/>
                <w:lang w:val="sr-Latn-RS"/>
                <w14:textFill>
                  <w14:solidFill>
                    <w14:schemeClr w14:val="tx1"/>
                  </w14:solidFill>
                </w14:textFill>
              </w:rPr>
            </w:pPr>
            <w:r>
              <w:rPr>
                <w:rFonts w:ascii="Arial" w:hAnsi="Arial" w:cs="Arial"/>
                <w:color w:val="000000" w:themeColor="text1"/>
                <w:lang w:val="sr-Cyrl-RS"/>
                <w14:textFill>
                  <w14:solidFill>
                    <w14:schemeClr w14:val="tx1"/>
                  </w14:solidFill>
                </w14:textFill>
              </w:rPr>
              <w:t>На територији општине Гаџин Хан налази се Сува планина као део карпатско – балканског масива. Због изгледа и специфичности ову планину називају “Kатена мунди” (копча, ланац или вериге света), што се може користити у маркетиншке сврхе промоције дестинације. Друге мање, али такође интересатне су планине су Селичевица и Бабичка гора. Горње Душничко врело, водопад Ропот, извори, потоци и друге природне атракције креирају незаборавну слику и потенцијал за привлачење туриста. Овај производ тренутно се актуелан за време спортских манифестација.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Специјални резерват природе на 18.176 ха и ИБА подручја за посматрање и проучавање птица.</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Делимично уређене и обележене планинарске стазе</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Постојање планинарских удружења на дестинацији</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Искуство у организацији манифестација (прим. Зимски успон на Трем, „Сува траил“ и др.)</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Тумачи за природни и еко туризам, посматрање дивљих животиња/флоре (прим. Планинска испаша за 200 коња и 800 крава који се слободно крећу планином).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скијалишне инфраструктуре и конкретних планова за развој алпског и нордијског пешачења, инфраструктура за прихват учесника спортских манифестација.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Атрактивни услови рада и добро обучени запослени.</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Недовољне маркетиншке активности у промоцији спортских манифестација нарочито на страним тржиштима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Туристичка сигнализација и информативни центар за пружање информација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смештајних капацитета</w:t>
            </w:r>
          </w:p>
        </w:tc>
      </w:tr>
    </w:tbl>
    <w:p>
      <w:pPr>
        <w:spacing w:line="276" w:lineRule="auto"/>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РУРАЛНИ ТУРИЗАМ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9015" w:type="dxa"/>
            <w:shd w:val="clear" w:color="auto" w:fill="E7E6E6" w:themeFill="background2"/>
          </w:tcPr>
          <w:p>
            <w:pPr>
              <w:spacing w:line="276" w:lineRule="auto"/>
              <w:rPr>
                <w:rFonts w:ascii="Arial" w:hAnsi="Arial" w:cs="Arial"/>
                <w:color w:val="000000" w:themeColor="text1"/>
                <w:lang w:val="sr-Cyrl-RS"/>
                <w14:textFill>
                  <w14:solidFill>
                    <w14:schemeClr w14:val="tx1"/>
                  </w14:solidFill>
                </w14:textFill>
              </w:rPr>
            </w:pPr>
            <w:r>
              <w:rPr>
                <w:rFonts w:ascii="Arial" w:hAnsi="Arial" w:eastAsia="Arial"/>
                <w:lang w:val="sr-Cyrl-RS"/>
              </w:rPr>
              <w:t>На територији општине Гаџин Хан налазе се села која имају одређене смештајне и угоститељске капаците. Путна инфраструктура која представља један од предуслова је добра, међутим у селима има доста напуштених кућа и домаћинстава. Рурални туризам је повезан са здравственим и садржајима који се односе на прикупљање биља и гљива.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spacing w:line="0" w:lineRule="atLeast"/>
              <w:rPr>
                <w:rFonts w:ascii="Arial" w:hAnsi="Arial" w:eastAsia="Arial"/>
                <w:b/>
                <w:lang w:val="sr-Cyrl-RS"/>
              </w:rPr>
            </w:pPr>
          </w:p>
          <w:p>
            <w:pPr>
              <w:numPr>
                <w:ilvl w:val="0"/>
                <w:numId w:val="24"/>
              </w:numPr>
              <w:tabs>
                <w:tab w:val="left" w:pos="840"/>
              </w:tabs>
              <w:spacing w:line="0" w:lineRule="atLeast"/>
              <w:rPr>
                <w:lang w:val="sr-Cyrl-RS"/>
              </w:rPr>
            </w:pPr>
            <w:r>
              <w:rPr>
                <w:rFonts w:ascii="Arial" w:hAnsi="Arial" w:eastAsia="Arial"/>
                <w:lang w:val="sr-Cyrl-RS"/>
              </w:rPr>
              <w:t>Природне ресурси као услов за развој руралног туризма</w:t>
            </w:r>
          </w:p>
          <w:p>
            <w:pPr>
              <w:spacing w:line="54" w:lineRule="exact"/>
              <w:rPr>
                <w:lang w:val="sr-Cyrl-RS"/>
              </w:rPr>
            </w:pPr>
          </w:p>
          <w:p>
            <w:pPr>
              <w:numPr>
                <w:ilvl w:val="0"/>
                <w:numId w:val="24"/>
              </w:numPr>
              <w:tabs>
                <w:tab w:val="left" w:pos="840"/>
              </w:tabs>
              <w:spacing w:line="254" w:lineRule="auto"/>
              <w:ind w:right="105"/>
              <w:rPr>
                <w:lang w:val="sr-Cyrl-RS"/>
              </w:rPr>
            </w:pPr>
            <w:r>
              <w:rPr>
                <w:rFonts w:ascii="Arial" w:hAnsi="Arial" w:eastAsia="Arial"/>
                <w:b/>
                <w:lang w:val="sr-Cyrl-RS"/>
              </w:rPr>
              <w:t>Планови општине за уређење бициклистичких стаза и повезивања села</w:t>
            </w:r>
          </w:p>
          <w:p>
            <w:pPr>
              <w:spacing w:line="10" w:lineRule="exact"/>
              <w:rPr>
                <w:lang w:val="sr-Cyrl-RS"/>
              </w:rPr>
            </w:pPr>
          </w:p>
          <w:p>
            <w:pPr>
              <w:numPr>
                <w:ilvl w:val="0"/>
                <w:numId w:val="24"/>
              </w:numPr>
              <w:tabs>
                <w:tab w:val="left" w:pos="840"/>
              </w:tabs>
              <w:spacing w:line="0" w:lineRule="atLeast"/>
              <w:rPr>
                <w:lang w:val="sr-Cyrl-RS"/>
              </w:rPr>
            </w:pPr>
            <w:r>
              <w:rPr>
                <w:rFonts w:ascii="Arial" w:hAnsi="Arial" w:eastAsia="Arial"/>
                <w:lang w:val="sr-Cyrl-RS"/>
              </w:rPr>
              <w:t>Велики број старих воденица (потребно сређивање)</w:t>
            </w:r>
          </w:p>
          <w:p>
            <w:pPr>
              <w:spacing w:line="54" w:lineRule="exact"/>
              <w:rPr>
                <w:lang w:val="sr-Cyrl-RS"/>
              </w:rPr>
            </w:pPr>
          </w:p>
          <w:p>
            <w:pPr>
              <w:numPr>
                <w:ilvl w:val="0"/>
                <w:numId w:val="24"/>
              </w:numPr>
              <w:tabs>
                <w:tab w:val="left" w:pos="840"/>
              </w:tabs>
              <w:spacing w:line="249" w:lineRule="auto"/>
              <w:ind w:right="125"/>
              <w:rPr>
                <w:lang w:val="sr-Cyrl-RS"/>
              </w:rPr>
            </w:pPr>
            <w:r>
              <w:rPr>
                <w:rFonts w:ascii="Arial" w:hAnsi="Arial" w:eastAsia="Arial"/>
                <w:b/>
                <w:lang w:val="sr-Cyrl-RS"/>
              </w:rPr>
              <w:t>Нишка бања, Душничко и Сопотничко врело, идеална надморска висина и чист ваздух</w:t>
            </w:r>
          </w:p>
          <w:p>
            <w:pPr>
              <w:spacing w:line="49" w:lineRule="exact"/>
              <w:rPr>
                <w:lang w:val="sr-Cyrl-RS"/>
              </w:rPr>
            </w:pPr>
          </w:p>
          <w:p>
            <w:pPr>
              <w:numPr>
                <w:ilvl w:val="0"/>
                <w:numId w:val="24"/>
              </w:numPr>
              <w:tabs>
                <w:tab w:val="left" w:pos="840"/>
              </w:tabs>
              <w:spacing w:line="249" w:lineRule="auto"/>
              <w:ind w:right="105"/>
              <w:rPr>
                <w:lang w:val="sr-Cyrl-RS"/>
              </w:rPr>
            </w:pPr>
            <w:r>
              <w:rPr>
                <w:rFonts w:ascii="Arial" w:hAnsi="Arial" w:eastAsia="Arial"/>
                <w:lang w:val="sr-Cyrl-RS"/>
              </w:rPr>
              <w:t>Гастрономска понуда и производња хране и пића: сир, месо, риба, мед, ракија итд.</w:t>
            </w:r>
          </w:p>
          <w:p>
            <w:pPr>
              <w:spacing w:line="50" w:lineRule="exact"/>
              <w:rPr>
                <w:lang w:val="sr-Cyrl-RS"/>
              </w:rPr>
            </w:pPr>
          </w:p>
          <w:p>
            <w:pPr>
              <w:numPr>
                <w:ilvl w:val="0"/>
                <w:numId w:val="24"/>
              </w:numPr>
              <w:tabs>
                <w:tab w:val="left" w:pos="840"/>
              </w:tabs>
              <w:spacing w:line="249" w:lineRule="auto"/>
              <w:ind w:right="105"/>
              <w:rPr>
                <w:lang w:val="sr-Cyrl-RS"/>
              </w:rPr>
            </w:pPr>
            <w:r>
              <w:rPr>
                <w:rFonts w:ascii="Arial" w:hAnsi="Arial" w:eastAsia="Arial"/>
                <w:b/>
                <w:lang w:val="sr-Cyrl-RS"/>
              </w:rPr>
              <w:t>Могућност сређивање базена и изградња спортско туристичког комплекса Доњи Душник</w:t>
            </w:r>
          </w:p>
          <w:p>
            <w:pPr>
              <w:spacing w:line="17" w:lineRule="exact"/>
              <w:rPr>
                <w:lang w:val="sr-Cyrl-RS"/>
              </w:rPr>
            </w:pPr>
          </w:p>
          <w:p>
            <w:pPr>
              <w:numPr>
                <w:ilvl w:val="0"/>
                <w:numId w:val="24"/>
              </w:numPr>
              <w:tabs>
                <w:tab w:val="left" w:pos="840"/>
              </w:tabs>
              <w:spacing w:line="0" w:lineRule="atLeast"/>
              <w:rPr>
                <w:lang w:val="sr-Cyrl-RS"/>
              </w:rPr>
            </w:pPr>
            <w:r>
              <w:rPr>
                <w:rFonts w:ascii="Arial" w:hAnsi="Arial" w:eastAsia="Arial"/>
                <w:bCs/>
                <w:lang w:val="sr-Cyrl-RS"/>
              </w:rPr>
              <w:t>Ramonda serbica</w:t>
            </w:r>
            <w:r>
              <w:rPr>
                <w:rFonts w:ascii="Arial" w:hAnsi="Arial" w:eastAsia="Arial"/>
                <w:lang w:val="sr-Cyrl-RS"/>
              </w:rPr>
              <w:t xml:space="preserve">, </w:t>
            </w:r>
            <w:r>
              <w:rPr>
                <w:rFonts w:ascii="Arial" w:hAnsi="Arial" w:eastAsia="Arial"/>
                <w:bCs/>
                <w:lang w:val="sr-Cyrl-RS"/>
              </w:rPr>
              <w:t>Ramonda</w:t>
            </w:r>
            <w:r>
              <w:rPr>
                <w:rFonts w:ascii="Arial" w:hAnsi="Arial" w:eastAsia="Arial"/>
                <w:lang w:val="sr-Cyrl-RS"/>
              </w:rPr>
              <w:t> nathaliae, лаванда, лековито биље..</w:t>
            </w:r>
          </w:p>
          <w:p>
            <w:pPr>
              <w:spacing w:line="54" w:lineRule="exact"/>
              <w:rPr>
                <w:lang w:val="sr-Cyrl-RS"/>
              </w:rPr>
            </w:pPr>
          </w:p>
          <w:p>
            <w:pPr>
              <w:numPr>
                <w:ilvl w:val="0"/>
                <w:numId w:val="24"/>
              </w:numPr>
              <w:tabs>
                <w:tab w:val="left" w:pos="840"/>
              </w:tabs>
              <w:spacing w:line="249" w:lineRule="auto"/>
              <w:ind w:right="105"/>
              <w:rPr>
                <w:lang w:val="sr-Cyrl-RS"/>
              </w:rPr>
            </w:pPr>
            <w:r>
              <w:rPr>
                <w:rFonts w:ascii="Arial" w:hAnsi="Arial" w:eastAsia="Arial"/>
                <w:b/>
                <w:lang w:val="sr-Cyrl-RS"/>
              </w:rPr>
              <w:t>Просечан животни век локалног становништва највиши у Србији (80 година)</w:t>
            </w:r>
            <w:r>
              <w:rPr>
                <w:rFonts w:ascii="Arial" w:hAnsi="Arial" w:eastAsia="Arial"/>
                <w:lang w:val="sr-Cyrl-RS"/>
              </w:rPr>
              <w:t xml:space="preserve"> </w:t>
            </w:r>
          </w:p>
          <w:p>
            <w:pPr>
              <w:numPr>
                <w:ilvl w:val="0"/>
                <w:numId w:val="24"/>
              </w:numPr>
              <w:tabs>
                <w:tab w:val="left" w:pos="840"/>
              </w:tabs>
              <w:spacing w:line="249" w:lineRule="auto"/>
              <w:ind w:right="105"/>
              <w:rPr>
                <w:lang w:val="sr-Cyrl-RS"/>
              </w:rPr>
            </w:pPr>
            <w:r>
              <w:rPr>
                <w:rFonts w:ascii="Arial" w:hAnsi="Arial" w:eastAsia="Arial"/>
                <w:lang w:val="sr-Cyrl-RS"/>
              </w:rPr>
              <w:t>Задруга "Заплањски засад" се бави примарно производњом лековитог, зачинског и ароматичног биља и има 15 задругара.</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Мањи број садржаја за одрасле и децу</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Општи изглед и уређеност села, напуштене несређене куће </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Одлазак младих из села због недостатка рентабилног запослења и предузетничких могућности</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мањег хотела са спортским и „wellness“ садржајима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Мали број смештајних и угоститељских капацитета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Неадекватан маркетинг производа и услуга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Недостатак смештајних капацитета </w:t>
            </w:r>
          </w:p>
        </w:tc>
      </w:tr>
    </w:tbl>
    <w:p>
      <w:pPr>
        <w:spacing w:line="276" w:lineRule="auto"/>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Latn-RS"/>
                <w14:textFill>
                  <w14:solidFill>
                    <w14:schemeClr w14:val="tx1"/>
                  </w14:solidFill>
                </w14:textFill>
              </w:rPr>
            </w:pPr>
            <w:r>
              <w:rPr>
                <w:rFonts w:ascii="Arial" w:hAnsi="Arial" w:cs="Arial"/>
                <w:b/>
                <w:bCs/>
                <w:color w:val="000000" w:themeColor="text1"/>
                <w:lang w:val="sr-Cyrl-RS"/>
                <w14:textFill>
                  <w14:solidFill>
                    <w14:schemeClr w14:val="tx1"/>
                  </w14:solidFill>
                </w14:textFill>
              </w:rPr>
              <w:t>КУЛТУРНИ ТУРИЗАМ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015" w:type="dxa"/>
            <w:shd w:val="clear" w:color="auto" w:fill="E7E6E6" w:themeFill="background2"/>
          </w:tcPr>
          <w:p>
            <w:p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Културни туризам за сада се испољава кроз обилазак културно-историјских споменика индивидуалних туриста, мањих група и дечјих екскурзија. Општина Гаџин Хан улаже у развој културе финансирањем сређивања споменика, сакралних здања, старих кућа познатих личности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 xml:space="preserve">ПРЕДНОСТИ: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28"/>
              <w:numPr>
                <w:ilvl w:val="0"/>
                <w:numId w:val="23"/>
              </w:numPr>
              <w:spacing w:before="0" w:beforeAutospacing="0" w:after="0" w:afterAutospacing="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Установе културе (</w:t>
            </w:r>
            <w:r>
              <w:rPr>
                <w:rFonts w:ascii="Arial" w:hAnsi="Arial" w:cs="Arial"/>
                <w:b/>
                <w:bCs/>
                <w:color w:val="000000" w:themeColor="text1"/>
                <w:lang w:val="sr-Cyrl-RS"/>
                <w14:textFill>
                  <w14:solidFill>
                    <w14:schemeClr w14:val="tx1"/>
                  </w14:solidFill>
                </w14:textFill>
              </w:rPr>
              <w:t>Народна библиотека и Дом културе Бранко Миљковић)</w:t>
            </w:r>
            <w:r>
              <w:rPr>
                <w:rFonts w:ascii="Arial" w:hAnsi="Arial" w:cs="Arial"/>
                <w:color w:val="000000" w:themeColor="text1"/>
                <w:lang w:val="sr-Cyrl-RS"/>
                <w14:textFill>
                  <w14:solidFill>
                    <w14:schemeClr w14:val="tx1"/>
                  </w14:solidFill>
                </w14:textFill>
              </w:rPr>
              <w:t xml:space="preserve"> на општини и простори са којима те установе располажу даје могућност за организацију културних догађаја који су главни магнети за привлачење посетилаца. </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Сакрални објекти (Храм Вазнесења Господњег у Великом Крчимиру и Црква Светог Николаја), споменици, старе куће и воденице дају могућност за организацију посета и креирања полудневних и једнодневних програма.</w:t>
            </w:r>
          </w:p>
          <w:p>
            <w:pPr>
              <w:pStyle w:val="51"/>
              <w:numPr>
                <w:ilvl w:val="0"/>
                <w:numId w:val="23"/>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Реновирана спомен кућа Драгутина Матића (</w:t>
            </w:r>
            <w:r>
              <w:rPr>
                <w:rFonts w:ascii="Arial" w:hAnsi="Arial" w:cs="Arial"/>
                <w:color w:val="000000" w:themeColor="text1"/>
                <w:lang w:val="sr-Cyrl-RS"/>
                <w14:textFill>
                  <w14:solidFill>
                    <w14:schemeClr w14:val="tx1"/>
                  </w14:solidFill>
                </w14:textFill>
              </w:rPr>
              <w:t>Спомен кућа најпознатијег српског извиђача Драгутина Матића, познатијег као Око соколово отворена је у јун у 2022. године у његовом родном Калетинцу, у општини Гаџин Хан. Посете Спомен-кући Драгутина Матића у селу Калетинац од стране заинтересованих лица могу се обавити радним данима између 8 и 13 часова уз претходну најаву.).</w:t>
            </w:r>
          </w:p>
          <w:p>
            <w:pPr>
              <w:pStyle w:val="28"/>
              <w:numPr>
                <w:ilvl w:val="0"/>
                <w:numId w:val="23"/>
              </w:numPr>
              <w:spacing w:before="0" w:beforeAutospacing="0" w:after="0" w:afterAutospacing="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Традиција и широк спектар наратива и предања везаних за овај део Србије креира задовољавајући обим садржаја који се могу користити у промотивне сврхе.</w:t>
            </w:r>
          </w:p>
          <w:p>
            <w:pPr>
              <w:pStyle w:val="28"/>
              <w:numPr>
                <w:ilvl w:val="0"/>
                <w:numId w:val="23"/>
              </w:numPr>
              <w:spacing w:before="0" w:beforeAutospacing="0" w:after="0" w:afterAutospacing="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Наслеђе у виду 17 воденица (потребна рестаурација - постоји велики потенцијал у сређивању воденица које могу имати тематске садржаје (култура, продаја сувенира, етно музеји итд.)између Доњег и Горњег душника</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Главни римски војнички пут Виа Милитарис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Неистражена археолошка налазишта</w:t>
            </w:r>
          </w:p>
          <w:p>
            <w:pPr>
              <w:pStyle w:val="51"/>
              <w:numPr>
                <w:ilvl w:val="0"/>
                <w:numId w:val="2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Калетинска кале пећина</w:t>
            </w:r>
          </w:p>
          <w:p>
            <w:pPr>
              <w:pStyle w:val="51"/>
              <w:numPr>
                <w:ilvl w:val="0"/>
                <w:numId w:val="23"/>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смештајних капацитета</w:t>
            </w:r>
          </w:p>
        </w:tc>
      </w:tr>
    </w:tbl>
    <w:p>
      <w:pPr>
        <w:spacing w:line="276" w:lineRule="auto"/>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ГАСТРОНОМИЈА – нематеријално културно наслеђе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015" w:type="dxa"/>
            <w:shd w:val="clear" w:color="auto" w:fill="E7E6E6" w:themeFill="background2"/>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Гастрономска понуду јужне и источне Србије далеко је позната и садржи бројне специјалитете. Традиционална јела су качамак, проја, крављи и овчији сир, гибаница, овчији специјалитети, кравај, цицвара, трканица, љутеница, хајдучки ћевап и др. На територији Гаџиног Хана постоји неколико угоститељских објеката (“Заплањско огњиште” у Доњем Душнику и “Заплањски мерак” у Гаџином Хану) у којима се служе ова јела у веома пријатном амбијенту углавном етно стила.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Погодан квалитет земљишта и климатских услова за развој пољопривреде (нарочито: јагода, малина, купина и вишања), кукуруза и ситнолиснатог дувана, шљива, јабука и др. </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Сточарство (37% укупног земљишта су ливаде и пашњаци) овце, краве, коњи и др.</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Манифестације Дани Заплања – такмичење у спремању јунечег и ловачког гулаша и Јужноморавски дани црног лука, Пихтијада у Гркињи и ткмичење у припреми грејане ракије</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 xml:space="preserve">Природна и укусна храна </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Производња меда (Удружење 48 чланова и 4800 кошница</w:t>
            </w:r>
            <w:r>
              <w:rPr>
                <w:rFonts w:ascii="Arial" w:hAnsi="Arial" w:cs="Arial"/>
                <w:color w:val="000000" w:themeColor="text1"/>
                <w:lang w:val="sr-Cyrl-RS"/>
                <w14:textFill>
                  <w14:solidFill>
                    <w14:schemeClr w14:val="tx1"/>
                  </w14:solidFill>
                </w14:textFill>
              </w:rPr>
              <w:t>)</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Свест о важности гастрономске понуде и планови за даљи развој производа</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Дефинисани специјалитети краја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Низак ниво удруживања произвођача хране</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Неискоришћеност погодности за гајење воћа и винове лозе</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Недовољан подстицај за унапређенје стручности и мотивације за бављење пољопривредом и угоститељством</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Смањен број домаћинстава као покретача пољопривредних активности </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Недостатак угоститељских капацитета </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Отежан пласман прехрамбених производа на друга тржишта</w:t>
            </w:r>
          </w:p>
          <w:p>
            <w:pPr>
              <w:pStyle w:val="28"/>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Изостанак декларација и осталих потребних сертификата </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Неразвијена синергија између гастрономије и осталих пружалаца услуга у туризму</w:t>
            </w:r>
          </w:p>
        </w:tc>
      </w:tr>
    </w:tbl>
    <w:p>
      <w:pPr>
        <w:spacing w:line="276" w:lineRule="auto"/>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МАНИФЕСТАЦИЈЕ И ДОГАЂАЈИ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9015" w:type="dxa"/>
            <w:shd w:val="clear" w:color="auto" w:fill="E7E6E6" w:themeFill="background2"/>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Манифестације и догађаји укључујући традиционалне или савремене фестивале, сајмове, игре, такмичења и слично, могу представљати занимљиве туристичке атракције, било да је реч о њиховом регионалном, националном, па чак и међународном значају. Општина Гаџин Хан улаже у развој културног туризма организацијом манифестација углавном културног и спортског карактера.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 xml:space="preserve">Догађаји који већ имају своју традицију и окупљају домаће становништво и туристе: Миљковићеве поетске свечаности, Југословенска колонија ликовних аматера 17 воденица, Зимски успон на Трем, Такмичење у планинском трчању на Сувој планини „Suva Trail“, Дани Заплања, Михољски сусрети села, Видовдански сабор на Сувој планини и др. </w:t>
            </w:r>
            <w:r>
              <w:rPr>
                <w:rFonts w:ascii="Arial" w:hAnsi="Arial" w:cs="Arial"/>
                <w:color w:val="000000" w:themeColor="text1"/>
                <w:lang w:val="sr-Cyrl-RS"/>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5"/>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стратегије развоја културе и одсуство примене стратегије развоја туризма</w:t>
            </w:r>
          </w:p>
          <w:p>
            <w:pPr>
              <w:pStyle w:val="51"/>
              <w:numPr>
                <w:ilvl w:val="0"/>
                <w:numId w:val="25"/>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дугорочног финансирања манифестација</w:t>
            </w:r>
          </w:p>
          <w:p>
            <w:pPr>
              <w:pStyle w:val="51"/>
              <w:numPr>
                <w:ilvl w:val="0"/>
                <w:numId w:val="25"/>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јавно-приватних партнерстава</w:t>
            </w:r>
          </w:p>
          <w:p>
            <w:pPr>
              <w:pStyle w:val="51"/>
              <w:numPr>
                <w:ilvl w:val="0"/>
                <w:numId w:val="25"/>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Недовољна промоција манифестација</w:t>
            </w:r>
          </w:p>
          <w:p>
            <w:pPr>
              <w:pStyle w:val="51"/>
              <w:numPr>
                <w:ilvl w:val="0"/>
                <w:numId w:val="25"/>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смештајних капацитета</w:t>
            </w:r>
          </w:p>
        </w:tc>
      </w:tr>
    </w:tbl>
    <w:p>
      <w:pPr>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ТРАНЗИТНИ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9015" w:type="dxa"/>
            <w:shd w:val="clear" w:color="auto" w:fill="E7E6E6" w:themeFill="background2"/>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Општина Гаџин Хан лоцирана је у југоисточној Србији између два крака Коридора X, источног ка Софији и Истанбулу и јужно ка Скопљу и Солуну. Овим коридором нарочито током летње сезоне саобраћа велики број транзитних туриста и представника дијаспоре користећи аутомобиле, аутобусе, моторе, бицикле и кампере. Поред тога све је веће интересовање за камповање у Србији од стране домаћих и страних туриста.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6"/>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Изузетна саобраћајна стратешка позиција на Коридору X</w:t>
            </w:r>
          </w:p>
          <w:p>
            <w:pPr>
              <w:pStyle w:val="51"/>
              <w:numPr>
                <w:ilvl w:val="0"/>
                <w:numId w:val="26"/>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 xml:space="preserve">Бизнис план за развој кампинга на територији општине Гаџин Хан </w:t>
            </w:r>
          </w:p>
          <w:p>
            <w:pPr>
              <w:pStyle w:val="51"/>
              <w:numPr>
                <w:ilvl w:val="0"/>
                <w:numId w:val="26"/>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Предвиђена локација за камп од стране општине Гаџин Хан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Ограничена туристичка сезона</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Недовољан број садржаја за кампинг туристе (бициклистичке стазе, уређене плаже, организовано упознавање са околином и др.)</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Недостатак смештајних капацитета </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кампа и паркиралишта</w:t>
            </w:r>
          </w:p>
        </w:tc>
      </w:tr>
    </w:tbl>
    <w:p>
      <w:pPr>
        <w:spacing w:line="276" w:lineRule="auto"/>
        <w:rPr>
          <w:rFonts w:ascii="Arial" w:hAnsi="Arial" w:cs="Arial"/>
          <w:color w:val="000000" w:themeColor="text1"/>
          <w:lang w:val="sr-Cyrl-RS"/>
          <w14:textFill>
            <w14:solidFill>
              <w14:schemeClr w14:val="tx1"/>
            </w14:solidFill>
          </w14:textFill>
        </w:rPr>
      </w:pPr>
    </w:p>
    <w:tbl>
      <w:tblPr>
        <w:tblStyle w:val="3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5"/>
      </w:tblGrid>
      <w:tr>
        <w:tblPrEx>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СПЕЦИЈАЛНИ ИНТЕРТЕСИ (БИЦИКЛИЗАМ, ЛОВ И ПОСМАТРАЊЕ ПТИЦА И ЖИВОТИЊА)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9015" w:type="dxa"/>
            <w:shd w:val="clear" w:color="auto" w:fill="E7E6E6" w:themeFill="background2"/>
          </w:tcPr>
          <w:p>
            <w:p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Увидом у постојеће стање и стручном анализом, утврђено је да је један од стратешких туристичких производа специјалних интереса бициклизам и пешачење. Одлична конфигурација терена са благим успонима која повезује села стазама су Ћелије, Г. Душник, Сопотница, Калетинац. Такође и села Горњи Барбеш, Виландрица, Дукат и Танасковићи са планином Селичевица као и села Горње Драговље, Гаре и Доњи Душник са планином Бабичка гора.</w:t>
            </w:r>
          </w:p>
          <w:p>
            <w:pPr>
              <w:spacing w:line="276" w:lineRule="auto"/>
              <w:rPr>
                <w:rFonts w:ascii="Arial" w:hAnsi="Arial" w:cs="Arial"/>
                <w:color w:val="000000" w:themeColor="text1"/>
                <w:lang w:val="sr-Cyrl-RS"/>
                <w14:textFill>
                  <w14:solidFill>
                    <w14:schemeClr w14:val="tx1"/>
                  </w14:solidFill>
                </w14:textFill>
              </w:rPr>
            </w:pPr>
          </w:p>
          <w:p>
            <w:p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Територији Општине Гаџин Хан има потенцијал за унапређење понуде производа ловног туризма. Што се тиче лова ситне дивљачи најпопуларнији лов је лов на препелицу (цотурниx цотурниx), шумску шљуку (солопаx рустицола) и фазана (Пхасианус цолцхицус) за које Ловачко удружење „Заплање“ газдује јако добрим и богатим теренима овим врстама. Дресура паса птичара на пољску јаребицу (пердиx пердиx) и јаребицу камењарку (Алецторис граеца) такође е велики потенцијал.</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Од дивљачи на територији општине Гаџин Хан најбројнији су зец, срна, пољска јербица и фазан, али и дивља свиња, вук, лисица, веверица и др. Додатне активности односе се на посматрање сурог орла, сивог сокола, јаребица камењарка и др. Атрактиван је податак да се на простору Суве планине налази преко 200 дивљих коња који се слободно крећу и хране на великом броју ливада и пашњака којим овај терен располаже.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ПРЕДНОСТИ: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Планови општине за уређење брдско-планинских стаза за бициклисте и пешаке</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Делимично урађена сигнализација пешачких и планинарских стаза</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Постојање Ловачког удружења „Заплање“</w:t>
            </w:r>
            <w:r>
              <w:rPr>
                <w:rFonts w:ascii="Arial" w:hAnsi="Arial" w:cs="Arial"/>
                <w:lang w:val="sr-Cyrl-RS"/>
              </w:rPr>
              <w:t xml:space="preserve"> </w:t>
            </w:r>
            <w:r>
              <w:rPr>
                <w:rFonts w:ascii="Arial" w:hAnsi="Arial" w:cs="Arial"/>
                <w:b/>
                <w:bCs/>
                <w:color w:val="000000" w:themeColor="text1"/>
                <w:lang w:val="sr-Cyrl-RS"/>
                <w14:textFill>
                  <w14:solidFill>
                    <w14:schemeClr w14:val="tx1"/>
                  </w14:solidFill>
                </w14:textFill>
              </w:rPr>
              <w:t xml:space="preserve"> са професионалним кадровима</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ИБА подручја за посматрање и проучавање птица</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Шумски комуникацијски путеви су добро уређени, потребна су додатна улагања за њихово унапређење.</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Евидентан је долазак туриста из Италије (ловци), Шпаније (дресери паса) и др. </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Поједини представници локалног становништва који су стручни за давање информација везаних за природу и екологију, као и организацију тура</w:t>
            </w:r>
          </w:p>
          <w:p>
            <w:pPr>
              <w:pStyle w:val="51"/>
              <w:numPr>
                <w:ilvl w:val="0"/>
                <w:numId w:val="24"/>
              </w:num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Постоје више шумарских кућица које би се могле адаптирати и користити као ловачке уз сагласност ЈП Србија шуме у чијем су власништву. Исто тако, поменути објекти могли би се користити за посматрање птица и животиња, преноћиште за планинаре и ловце итд.</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Традиционални сабор ловаца организује се сваке треће недеље у фебруару</w:t>
            </w:r>
          </w:p>
          <w:p>
            <w:pPr>
              <w:pStyle w:val="51"/>
              <w:numPr>
                <w:ilvl w:val="0"/>
                <w:numId w:val="2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Постоји објекат за пријем и боравак ловаца и љубитељ природе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auto"/>
          </w:tcPr>
          <w:p>
            <w:pPr>
              <w:spacing w:line="276" w:lineRule="auto"/>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МАНЕ: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shd w:val="clear" w:color="auto" w:fill="E7E6E6" w:themeFill="background2"/>
          </w:tcPr>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финасијских средстава ѕа уређење бициклистичких и пешачких стаза</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Немогућност изнамљивања бицикла</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Недовољна промоција овог туристичког производа на домаћем и међународном тржишту </w:t>
            </w:r>
          </w:p>
          <w:p>
            <w:pPr>
              <w:pStyle w:val="51"/>
              <w:numPr>
                <w:ilvl w:val="0"/>
                <w:numId w:val="24"/>
              </w:numP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Недовољна инфраструктура, чеке, видиковци итд.</w:t>
            </w:r>
          </w:p>
        </w:tc>
      </w:tr>
    </w:tbl>
    <w:p>
      <w:pPr>
        <w:rPr>
          <w:rFonts w:ascii="Arial" w:hAnsi="Arial" w:cs="Arial"/>
          <w:lang w:val="sr-Cyrl-RS"/>
        </w:rPr>
      </w:pPr>
    </w:p>
    <w:p>
      <w:pPr>
        <w:rPr>
          <w:rFonts w:ascii="Arial" w:hAnsi="Arial" w:cs="Arial"/>
          <w:lang w:val="sr-Cyrl-RS"/>
        </w:rPr>
      </w:pPr>
      <w:r>
        <w:rPr>
          <w:rFonts w:ascii="Arial" w:hAnsi="Arial" w:cs="Arial"/>
          <w:lang w:val="sr-Cyrl-RS"/>
        </w:rPr>
        <w:br w:type="page"/>
      </w:r>
    </w:p>
    <w:p>
      <w:pPr>
        <w:pStyle w:val="3"/>
      </w:pPr>
      <w:bookmarkStart w:id="65" w:name="_Toc159226528"/>
      <w:r>
        <w:t xml:space="preserve">5.4. </w:t>
      </w:r>
      <w:r>
        <w:rPr>
          <w:rFonts w:eastAsia="Calibri"/>
        </w:rPr>
        <w:t xml:space="preserve"> Анализа понуде туристичких и угоститељских капацитета</w:t>
      </w:r>
      <w:bookmarkEnd w:id="65"/>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Општина Гаџин Хан нема довољно смештајних капацитета нарочито за време организације спортских и културиних манифестација. Реализацијом акционог плана и мера Стратегије развоја туризма број посетилаца ће расти и овај тренд мора пратити и повећање броја смештајних капацитета и врста објеката за смештај. </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Највећи број туриста који посећују ширу дестинацију Гаџиног Хана долазе из Града Ниша и Нишке бање и смештени су у бројним објектима хотелског, и апартманског типа. Ови капацитети у почетној фази развоја туризма на територији Општине Гаџин Хан и недостатка смештаја представљају алтернативу као одговор на повећану тражњу. </w:t>
      </w:r>
    </w:p>
    <w:p>
      <w:pPr>
        <w:spacing w:line="276" w:lineRule="auto"/>
        <w:jc w:val="both"/>
        <w:rPr>
          <w:rFonts w:ascii="Arial" w:hAnsi="Arial" w:cs="Arial"/>
          <w:b/>
          <w:bCs/>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 туристичкој понуди дестинације Гаџин Хан егзистира само један категоризовано сеоско туристичко домаћинство ”Апартман Петровић Семче” са две двокреветне смештајне јединице капацитета 4 кревета у категорији 2</w:t>
      </w:r>
      <w:r>
        <w:rPr>
          <w:rFonts w:ascii="Arial" w:hAnsi="Arial" w:cs="Arial"/>
          <w:color w:val="000000" w:themeColor="text1"/>
          <w:lang w:val="ru-RU"/>
          <w14:textFill>
            <w14:solidFill>
              <w14:schemeClr w14:val="tx1"/>
            </w14:solidFill>
          </w14:textFill>
        </w:rPr>
        <w:t>*.</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 плану је сређивање постојеће инфраструктуре (шумарских кућица 3 објекта) која се не користе и стављање у функцију туризма специјалних интереса ловног, посматрања птица и сакупљање лековитог биља и гљива. Објекти би се могли користити и као преноћишта за туристе.</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i/>
          <w:iCs/>
          <w:color w:val="000000" w:themeColor="text1"/>
          <w:lang w:val="sr-Cyrl-RS"/>
          <w14:textFill>
            <w14:solidFill>
              <w14:schemeClr w14:val="tx1"/>
            </w14:solidFill>
          </w14:textFill>
        </w:rPr>
      </w:pPr>
      <w:r>
        <w:rPr>
          <w:rFonts w:ascii="Arial" w:hAnsi="Arial" w:cs="Arial"/>
          <w:i/>
          <w:iCs/>
          <w:color w:val="000000" w:themeColor="text1"/>
          <w:lang w:val="sr-Cyrl-RS"/>
          <w14:textFill>
            <w14:solidFill>
              <w14:schemeClr w14:val="tx1"/>
            </w14:solidFill>
          </w14:textFill>
        </w:rPr>
        <w:t>Слика 13. Ресторан Заплањски мерак, ТО Гаџин Хан</w:t>
      </w:r>
    </w:p>
    <w:p>
      <w:pPr>
        <w:autoSpaceDE w:val="0"/>
        <w:autoSpaceDN w:val="0"/>
        <w:adjustRightInd w:val="0"/>
        <w:spacing w:line="276" w:lineRule="auto"/>
        <w:jc w:val="center"/>
        <w:rPr>
          <w:rFonts w:ascii="Arial" w:hAnsi="Arial" w:cs="Arial"/>
          <w:color w:val="000000" w:themeColor="text1"/>
          <w:lang w:val="sr-Cyrl-RS"/>
          <w14:textFill>
            <w14:solidFill>
              <w14:schemeClr w14:val="tx1"/>
            </w14:solidFill>
          </w14:textFill>
        </w:rPr>
      </w:pPr>
      <w:r>
        <w:rPr>
          <w:rFonts w:ascii="Arial" w:hAnsi="Arial" w:cs="Arial"/>
          <w:color w:val="000000" w:themeColor="text1"/>
          <w:lang w:eastAsia="en-US"/>
          <w14:textFill>
            <w14:solidFill>
              <w14:schemeClr w14:val="tx1"/>
            </w14:solidFill>
          </w14:textFill>
        </w:rPr>
        <w:drawing>
          <wp:inline distT="0" distB="0" distL="0" distR="0">
            <wp:extent cx="2891790" cy="2169160"/>
            <wp:effectExtent l="0" t="0" r="3810" b="2540"/>
            <wp:docPr id="23" name="Picture 23" descr="A patio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tio with tables and chairs&#10;&#10;Description automatically generated"/>
                    <pic:cNvPicPr>
                      <a:picLocks noChangeAspect="1"/>
                    </pic:cNvPicPr>
                  </pic:nvPicPr>
                  <pic:blipFill>
                    <a:blip r:embed="rId25" cstate="email"/>
                    <a:stretch>
                      <a:fillRect/>
                    </a:stretch>
                  </pic:blipFill>
                  <pic:spPr>
                    <a:xfrm>
                      <a:off x="0" y="0"/>
                      <a:ext cx="3055846" cy="2291884"/>
                    </a:xfrm>
                    <a:prstGeom prst="rect">
                      <a:avLst/>
                    </a:prstGeom>
                  </pic:spPr>
                </pic:pic>
              </a:graphicData>
            </a:graphic>
          </wp:inline>
        </w:drawing>
      </w:r>
      <w:r>
        <w:rPr>
          <w:rFonts w:ascii="Arial" w:hAnsi="Arial" w:cs="Arial"/>
          <w:color w:val="000000" w:themeColor="text1"/>
          <w:lang w:eastAsia="en-US"/>
          <w14:textFill>
            <w14:solidFill>
              <w14:schemeClr w14:val="tx1"/>
            </w14:solidFill>
          </w14:textFill>
        </w:rPr>
        <w:drawing>
          <wp:inline distT="0" distB="0" distL="0" distR="0">
            <wp:extent cx="1945005" cy="2167255"/>
            <wp:effectExtent l="0" t="0" r="0" b="4445"/>
            <wp:docPr id="24" name="Picture 24"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staurant with tables and chairs&#10;&#10;Description automatically generated"/>
                    <pic:cNvPicPr>
                      <a:picLocks noChangeAspect="1"/>
                    </pic:cNvPicPr>
                  </pic:nvPicPr>
                  <pic:blipFill>
                    <a:blip r:embed="rId26" cstate="email"/>
                    <a:stretch>
                      <a:fillRect/>
                    </a:stretch>
                  </pic:blipFill>
                  <pic:spPr>
                    <a:xfrm>
                      <a:off x="0" y="0"/>
                      <a:ext cx="2021987" cy="2252917"/>
                    </a:xfrm>
                    <a:prstGeom prst="rect">
                      <a:avLst/>
                    </a:prstGeom>
                  </pic:spPr>
                </pic:pic>
              </a:graphicData>
            </a:graphic>
          </wp:inline>
        </w:drawing>
      </w:r>
    </w:p>
    <w:p>
      <w:pPr>
        <w:autoSpaceDE w:val="0"/>
        <w:autoSpaceDN w:val="0"/>
        <w:adjustRightInd w:val="0"/>
        <w:spacing w:line="276" w:lineRule="auto"/>
        <w:jc w:val="both"/>
        <w:rPr>
          <w:rFonts w:ascii="Arial" w:hAnsi="Arial" w:cs="Arial"/>
          <w:i/>
          <w:iCs/>
          <w:color w:val="000000" w:themeColor="text1"/>
          <w:lang w:val="ru-RU"/>
          <w14:textFill>
            <w14:solidFill>
              <w14:schemeClr w14:val="tx1"/>
            </w14:solidFill>
          </w14:textFill>
        </w:rPr>
      </w:pPr>
      <w:r>
        <w:rPr>
          <w:rFonts w:ascii="Arial" w:hAnsi="Arial" w:cs="Arial"/>
          <w:color w:val="000000" w:themeColor="text1"/>
          <w:lang w:val="sr-Cyrl-RS"/>
          <w14:textFill>
            <w14:solidFill>
              <w14:schemeClr w14:val="tx1"/>
            </w14:solidFill>
          </w14:textFill>
        </w:rPr>
        <w:tab/>
      </w:r>
      <w:r>
        <w:rPr>
          <w:rFonts w:ascii="Arial" w:hAnsi="Arial" w:cs="Arial"/>
          <w:i/>
          <w:iCs/>
          <w:color w:val="000000" w:themeColor="text1"/>
          <w:lang w:val="sr-Cyrl-RS"/>
          <w14:textFill>
            <w14:solidFill>
              <w14:schemeClr w14:val="tx1"/>
            </w14:solidFill>
          </w14:textFill>
        </w:rPr>
        <w:t xml:space="preserve"> Извор: Архива </w:t>
      </w:r>
      <w:r>
        <w:rPr>
          <w:rFonts w:ascii="Arial" w:hAnsi="Arial" w:cs="Arial"/>
          <w:i/>
          <w:iCs/>
          <w:color w:val="000000" w:themeColor="text1"/>
          <w:lang w:val="ru-RU"/>
          <w14:textFill>
            <w14:solidFill>
              <w14:schemeClr w14:val="tx1"/>
            </w14:solidFill>
          </w14:textFill>
        </w:rPr>
        <w:t>“</w:t>
      </w:r>
      <w:r>
        <w:rPr>
          <w:rFonts w:ascii="Arial" w:hAnsi="Arial" w:cs="Arial"/>
          <w:i/>
          <w:iCs/>
          <w:color w:val="000000" w:themeColor="text1"/>
          <w14:textFill>
            <w14:solidFill>
              <w14:schemeClr w14:val="tx1"/>
            </w14:solidFill>
          </w14:textFill>
        </w:rPr>
        <w:t>VTC</w:t>
      </w:r>
      <w:r>
        <w:rPr>
          <w:rFonts w:ascii="Arial" w:hAnsi="Arial" w:cs="Arial"/>
          <w:i/>
          <w:iCs/>
          <w:color w:val="000000" w:themeColor="text1"/>
          <w:lang w:val="ru-RU"/>
          <w14:textFill>
            <w14:solidFill>
              <w14:schemeClr w14:val="tx1"/>
            </w14:solidFill>
          </w14:textFill>
        </w:rPr>
        <w:t>”</w:t>
      </w:r>
    </w:p>
    <w:p>
      <w:pPr>
        <w:autoSpaceDE w:val="0"/>
        <w:autoSpaceDN w:val="0"/>
        <w:adjustRightInd w:val="0"/>
        <w:spacing w:line="276" w:lineRule="auto"/>
        <w:jc w:val="both"/>
        <w:rPr>
          <w:rFonts w:ascii="Arial" w:hAnsi="Arial" w:cs="Arial"/>
          <w:i/>
          <w:iCs/>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На дестинацији тренутно нема пуно угоститељских објеката. Заплањски мерак (Гаџин Хан) </w:t>
      </w:r>
      <w:bookmarkStart w:id="66" w:name="_Hlk110465121"/>
      <w:bookmarkEnd w:id="66"/>
      <w:r>
        <w:fldChar w:fldCharType="begin"/>
      </w:r>
      <w:r>
        <w:rPr>
          <w:rFonts w:ascii="Arial" w:hAnsi="Arial" w:cs="Arial"/>
          <w:lang w:val="sr-Cyrl-RS"/>
        </w:rPr>
        <w:instrText xml:space="preserve"> HYPERLINK "https://zaplanjski-merak.business.site/" \l "gallery" </w:instrText>
      </w:r>
      <w:r>
        <w:fldChar w:fldCharType="separate"/>
      </w:r>
      <w:r>
        <w:rPr>
          <w:rStyle w:val="17"/>
          <w:rFonts w:ascii="Arial" w:hAnsi="Arial" w:cs="Arial"/>
          <w:color w:val="000000" w:themeColor="text1"/>
          <w:lang w:val="sr-Cyrl-RS"/>
          <w14:textFill>
            <w14:solidFill>
              <w14:schemeClr w14:val="tx1"/>
            </w14:solidFill>
          </w14:textFill>
        </w:rPr>
        <w:t>https://zaplanjski-merak.business.site/#gallery</w:t>
      </w:r>
      <w:r>
        <w:rPr>
          <w:rStyle w:val="17"/>
          <w:rFonts w:ascii="Arial" w:hAnsi="Arial" w:cs="Arial"/>
          <w:color w:val="000000" w:themeColor="text1"/>
          <w:lang w:val="sr-Cyrl-RS"/>
          <w14:textFill>
            <w14:solidFill>
              <w14:schemeClr w14:val="tx1"/>
            </w14:solidFill>
          </w14:textFill>
        </w:rPr>
        <w:fldChar w:fldCharType="end"/>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Уређен у етно стилу са широким репертоаром јела својствених дестинацији и региону.</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rPr>
          <w:rFonts w:ascii="Arial" w:hAnsi="Arial" w:cs="Arial"/>
          <w:i/>
          <w:iCs/>
          <w:color w:val="000000" w:themeColor="text1"/>
          <w:lang w:val="sr-Cyrl-RS"/>
          <w14:textFill>
            <w14:solidFill>
              <w14:schemeClr w14:val="tx1"/>
            </w14:solidFill>
          </w14:textFill>
        </w:rPr>
      </w:pPr>
      <w:r>
        <w:rPr>
          <w:rFonts w:ascii="Arial" w:hAnsi="Arial" w:cs="Arial"/>
          <w:i/>
          <w:iCs/>
          <w:color w:val="000000" w:themeColor="text1"/>
          <w:lang w:val="sr-Cyrl-RS"/>
          <w14:textFill>
            <w14:solidFill>
              <w14:schemeClr w14:val="tx1"/>
            </w14:solidFill>
          </w14:textFill>
        </w:rPr>
        <w:t>Слика 14.</w:t>
      </w:r>
      <w:r>
        <w:rPr>
          <w:rFonts w:ascii="Arial" w:hAnsi="Arial" w:cs="Arial"/>
          <w:lang w:val="sr-Cyrl-RS"/>
        </w:rPr>
        <w:t xml:space="preserve"> </w:t>
      </w:r>
      <w:r>
        <w:rPr>
          <w:rFonts w:ascii="Arial" w:hAnsi="Arial" w:cs="Arial"/>
          <w:i/>
          <w:iCs/>
          <w:color w:val="000000" w:themeColor="text1"/>
          <w:lang w:val="sr-Cyrl-RS"/>
          <w14:textFill>
            <w14:solidFill>
              <w14:schemeClr w14:val="tx1"/>
            </w14:solidFill>
          </w14:textFill>
        </w:rPr>
        <w:t xml:space="preserve"> Ресторан Заплањско огњиште, ТО Гаџин Хан</w:t>
      </w:r>
    </w:p>
    <w:p>
      <w:pPr>
        <w:autoSpaceDE w:val="0"/>
        <w:autoSpaceDN w:val="0"/>
        <w:adjustRightInd w:val="0"/>
        <w:spacing w:line="276" w:lineRule="auto"/>
        <w:jc w:val="center"/>
        <w:rPr>
          <w:rFonts w:ascii="Arial" w:hAnsi="Arial" w:cs="Arial"/>
          <w:color w:val="000000" w:themeColor="text1"/>
          <w:lang w:val="sr-Cyrl-RS"/>
          <w14:textFill>
            <w14:solidFill>
              <w14:schemeClr w14:val="tx1"/>
            </w14:solidFill>
          </w14:textFill>
        </w:rPr>
      </w:pPr>
      <w:r>
        <w:rPr>
          <w:rFonts w:ascii="Arial" w:hAnsi="Arial" w:cs="Arial"/>
          <w:color w:val="000000" w:themeColor="text1"/>
          <w:lang w:eastAsia="en-US"/>
          <w14:textFill>
            <w14:solidFill>
              <w14:schemeClr w14:val="tx1"/>
            </w14:solidFill>
          </w14:textFill>
        </w:rPr>
        <w:drawing>
          <wp:inline distT="0" distB="0" distL="0" distR="0">
            <wp:extent cx="2797810" cy="2098675"/>
            <wp:effectExtent l="0" t="0" r="0" b="0"/>
            <wp:docPr id="25" name="Picture 25" descr="A building with lights on th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uilding with lights on the outside&#10;&#10;Description automatically generated"/>
                    <pic:cNvPicPr>
                      <a:picLocks noChangeAspect="1"/>
                    </pic:cNvPicPr>
                  </pic:nvPicPr>
                  <pic:blipFill>
                    <a:blip r:embed="rId27" cstate="email"/>
                    <a:stretch>
                      <a:fillRect/>
                    </a:stretch>
                  </pic:blipFill>
                  <pic:spPr>
                    <a:xfrm>
                      <a:off x="0" y="0"/>
                      <a:ext cx="2798379" cy="2098784"/>
                    </a:xfrm>
                    <a:prstGeom prst="rect">
                      <a:avLst/>
                    </a:prstGeom>
                  </pic:spPr>
                </pic:pic>
              </a:graphicData>
            </a:graphic>
          </wp:inline>
        </w:drawing>
      </w:r>
      <w:r>
        <w:rPr>
          <w:rFonts w:ascii="Arial" w:hAnsi="Arial" w:cs="Arial"/>
          <w:color w:val="000000" w:themeColor="text1"/>
          <w:lang w:eastAsia="en-US"/>
          <w14:textFill>
            <w14:solidFill>
              <w14:schemeClr w14:val="tx1"/>
            </w14:solidFill>
          </w14:textFill>
        </w:rPr>
        <w:drawing>
          <wp:inline distT="0" distB="0" distL="0" distR="0">
            <wp:extent cx="2103755" cy="2103755"/>
            <wp:effectExtent l="0" t="0" r="4445" b="4445"/>
            <wp:docPr id="26" name="Picture 26" descr="A table and chairs under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able and chairs under a roof&#10;&#10;Description automatically generated"/>
                    <pic:cNvPicPr>
                      <a:picLocks noChangeAspect="1"/>
                    </pic:cNvPicPr>
                  </pic:nvPicPr>
                  <pic:blipFill>
                    <a:blip r:embed="rId28" cstate="email"/>
                    <a:stretch>
                      <a:fillRect/>
                    </a:stretch>
                  </pic:blipFill>
                  <pic:spPr>
                    <a:xfrm>
                      <a:off x="0" y="0"/>
                      <a:ext cx="2121257" cy="2121257"/>
                    </a:xfrm>
                    <a:prstGeom prst="rect">
                      <a:avLst/>
                    </a:prstGeom>
                  </pic:spPr>
                </pic:pic>
              </a:graphicData>
            </a:graphic>
          </wp:inline>
        </w:drawing>
      </w:r>
    </w:p>
    <w:p>
      <w:pPr>
        <w:autoSpaceDE w:val="0"/>
        <w:autoSpaceDN w:val="0"/>
        <w:adjustRightInd w:val="0"/>
        <w:spacing w:line="276" w:lineRule="auto"/>
        <w:rPr>
          <w:rFonts w:ascii="Arial" w:hAnsi="Arial" w:cs="Arial"/>
          <w:i/>
          <w:iCs/>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ab/>
      </w:r>
      <w:r>
        <w:rPr>
          <w:rFonts w:ascii="Arial" w:hAnsi="Arial" w:cs="Arial"/>
          <w:i/>
          <w:iCs/>
          <w:color w:val="000000" w:themeColor="text1"/>
          <w:lang w:val="sr-Cyrl-RS"/>
          <w14:textFill>
            <w14:solidFill>
              <w14:schemeClr w14:val="tx1"/>
            </w14:solidFill>
          </w14:textFill>
        </w:rPr>
        <w:t>Извор: Архива “</w:t>
      </w:r>
      <w:r>
        <w:rPr>
          <w:rFonts w:ascii="Arial" w:hAnsi="Arial" w:cs="Arial"/>
          <w:i/>
          <w:iCs/>
          <w:color w:val="000000" w:themeColor="text1"/>
          <w14:textFill>
            <w14:solidFill>
              <w14:schemeClr w14:val="tx1"/>
            </w14:solidFill>
          </w14:textFill>
        </w:rPr>
        <w:t>VTC</w:t>
      </w:r>
    </w:p>
    <w:p>
      <w:pPr>
        <w:autoSpaceDE w:val="0"/>
        <w:autoSpaceDN w:val="0"/>
        <w:adjustRightInd w:val="0"/>
        <w:spacing w:line="276" w:lineRule="auto"/>
        <w:rPr>
          <w:rFonts w:ascii="Arial" w:hAnsi="Arial" w:cs="Arial"/>
          <w:i/>
          <w:iCs/>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bookmarkStart w:id="67" w:name="_Hlk110465149"/>
      <w:r>
        <w:rPr>
          <w:rFonts w:ascii="Arial" w:hAnsi="Arial" w:cs="Arial"/>
          <w:color w:val="000000" w:themeColor="text1"/>
          <w:lang w:val="sr-Cyrl-RS"/>
          <w14:textFill>
            <w14:solidFill>
              <w14:schemeClr w14:val="tx1"/>
            </w14:solidFill>
          </w14:textFill>
        </w:rPr>
        <w:t xml:space="preserve">Заплањско огњиште (Доњи Душник) </w:t>
      </w:r>
      <w:bookmarkEnd w:id="67"/>
      <w:r>
        <w:fldChar w:fldCharType="begin"/>
      </w:r>
      <w:r>
        <w:rPr>
          <w:rFonts w:ascii="Arial" w:hAnsi="Arial" w:cs="Arial"/>
          <w:lang w:val="sr-Cyrl-RS"/>
        </w:rPr>
        <w:instrText xml:space="preserve"> HYPERLINK "https://goo.gl/maps/NRtjthm9gjXFNCD16" </w:instrText>
      </w:r>
      <w:r>
        <w:fldChar w:fldCharType="separate"/>
      </w:r>
      <w:r>
        <w:rPr>
          <w:rStyle w:val="17"/>
          <w:rFonts w:ascii="Arial" w:hAnsi="Arial" w:cs="Arial"/>
          <w:color w:val="000000" w:themeColor="text1"/>
          <w:lang w:val="sr-Cyrl-RS"/>
          <w14:textFill>
            <w14:solidFill>
              <w14:schemeClr w14:val="tx1"/>
            </w14:solidFill>
          </w14:textFill>
        </w:rPr>
        <w:t>https://goo.gl/maps/NRtjthm9gjXFNCD16</w:t>
      </w:r>
      <w:r>
        <w:rPr>
          <w:rStyle w:val="17"/>
          <w:rFonts w:ascii="Arial" w:hAnsi="Arial" w:cs="Arial"/>
          <w:color w:val="000000" w:themeColor="text1"/>
          <w:lang w:val="sr-Cyrl-RS"/>
          <w14:textFill>
            <w14:solidFill>
              <w14:schemeClr w14:val="tx1"/>
            </w14:solidFill>
          </w14:textFill>
        </w:rPr>
        <w:fldChar w:fldCharType="end"/>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Уређен у етно стилу са широким репертоаром јела својствених дестинацији и региону.</w:t>
      </w: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p>
    <w:p>
      <w:pPr>
        <w:autoSpaceDE w:val="0"/>
        <w:autoSpaceDN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Ресторан има индивидуалне и већи број групних посета. У плану је проширење капацитета ресторана. </w:t>
      </w:r>
    </w:p>
    <w:p>
      <w:pPr>
        <w:spacing w:before="100" w:beforeAutospacing="1" w:after="15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У плану је изградња бунгалова за одмор и ресторана у Доњем Душнику са базеном и Еко кампа Сува планина. У Доњем душнику постоји објекат који је предвиђен за туристички информативни центар. </w:t>
      </w:r>
    </w:p>
    <w:p>
      <w:pPr>
        <w:spacing w:after="200" w:line="276" w:lineRule="auto"/>
        <w:rPr>
          <w:rFonts w:ascii="Arial" w:hAnsi="Arial" w:cs="Arial" w:eastAsiaTheme="minorHAnsi"/>
          <w:i/>
          <w:iCs/>
          <w:color w:val="000000" w:themeColor="text1"/>
          <w:lang w:val="sr-Cyrl-RS" w:eastAsia="en-US"/>
          <w14:textFill>
            <w14:solidFill>
              <w14:schemeClr w14:val="tx1"/>
            </w14:solidFill>
          </w14:textFill>
        </w:rPr>
      </w:pPr>
      <w:r>
        <w:rPr>
          <w:rFonts w:ascii="Arial" w:hAnsi="Arial" w:cs="Arial"/>
          <w:i/>
          <w:iCs/>
          <w:color w:val="000000" w:themeColor="text1"/>
          <w:lang w:val="sr-Cyrl-RS" w:eastAsia="en-US"/>
          <w14:textFill>
            <w14:solidFill>
              <w14:schemeClr w14:val="tx1"/>
            </w14:solidFill>
          </w14:textFill>
        </w:rPr>
        <w:t>Слика 15. Базен у фази сређивања испред бунгалова за одмор и ресторана</w:t>
      </w:r>
    </w:p>
    <w:p>
      <w:pPr>
        <w:rPr>
          <w:rFonts w:ascii="Arial" w:hAnsi="Arial" w:cs="Arial" w:eastAsiaTheme="minorHAnsi"/>
          <w:lang w:val="sr-Cyrl-RS" w:eastAsia="en-US"/>
        </w:rPr>
      </w:pPr>
      <w:r>
        <w:rPr>
          <w:rFonts w:ascii="Arial" w:hAnsi="Arial" w:cs="Arial" w:eastAsiaTheme="minorHAnsi"/>
          <w:lang w:eastAsia="en-US"/>
        </w:rPr>
        <w:drawing>
          <wp:inline distT="0" distB="0" distL="0" distR="0">
            <wp:extent cx="5730875" cy="2698750"/>
            <wp:effectExtent l="0" t="0" r="0" b="6350"/>
            <wp:docPr id="51" name="Picture 51" descr="A concrete pool with grass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oncrete pool with grass and trees in the background&#10;&#10;Description automatically generated"/>
                    <pic:cNvPicPr>
                      <a:picLocks noChangeAspect="1"/>
                    </pic:cNvPicPr>
                  </pic:nvPicPr>
                  <pic:blipFill>
                    <a:blip r:embed="rId29" cstate="email"/>
                    <a:srcRect/>
                    <a:stretch>
                      <a:fillRect/>
                    </a:stretch>
                  </pic:blipFill>
                  <pic:spPr>
                    <a:xfrm>
                      <a:off x="0" y="0"/>
                      <a:ext cx="5731510" cy="2699113"/>
                    </a:xfrm>
                    <a:prstGeom prst="rect">
                      <a:avLst/>
                    </a:prstGeom>
                    <a:ln>
                      <a:noFill/>
                    </a:ln>
                  </pic:spPr>
                </pic:pic>
              </a:graphicData>
            </a:graphic>
          </wp:inline>
        </w:drawing>
      </w:r>
    </w:p>
    <w:p>
      <w:pPr>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i/>
          <w:iCs/>
          <w:color w:val="000000" w:themeColor="text1"/>
          <w:lang w:val="sr-Cyrl-RS"/>
          <w14:textFill>
            <w14:solidFill>
              <w14:schemeClr w14:val="tx1"/>
            </w14:solidFill>
          </w14:textFill>
        </w:rPr>
        <w:t xml:space="preserve">Извор: Архива </w:t>
      </w:r>
      <w:r>
        <w:rPr>
          <w:rFonts w:ascii="Arial" w:hAnsi="Arial" w:cs="Arial"/>
          <w:i/>
          <w:iCs/>
          <w:color w:val="000000" w:themeColor="text1"/>
          <w:lang w:val="ru-RU"/>
          <w14:textFill>
            <w14:solidFill>
              <w14:schemeClr w14:val="tx1"/>
            </w14:solidFill>
          </w14:textFill>
        </w:rPr>
        <w:t>“</w:t>
      </w:r>
      <w:r>
        <w:rPr>
          <w:rFonts w:ascii="Arial" w:hAnsi="Arial" w:cs="Arial"/>
          <w:i/>
          <w:iCs/>
          <w:color w:val="000000" w:themeColor="text1"/>
          <w14:textFill>
            <w14:solidFill>
              <w14:schemeClr w14:val="tx1"/>
            </w14:solidFill>
          </w14:textFill>
        </w:rPr>
        <w:t>VTC</w:t>
      </w:r>
      <w:r>
        <w:rPr>
          <w:rFonts w:ascii="Arial" w:hAnsi="Arial" w:cs="Arial" w:eastAsiaTheme="minorHAnsi"/>
          <w:color w:val="000000" w:themeColor="text1"/>
          <w:lang w:val="sr-Cyrl-RS" w:eastAsia="en-US"/>
          <w14:textFill>
            <w14:solidFill>
              <w14:schemeClr w14:val="tx1"/>
            </w14:solidFill>
          </w14:textFill>
        </w:rPr>
        <w:t xml:space="preserve"> </w:t>
      </w:r>
    </w:p>
    <w:p>
      <w:pPr>
        <w:jc w:val="both"/>
        <w:rPr>
          <w:rFonts w:ascii="Arial" w:hAnsi="Arial" w:cs="Arial" w:eastAsiaTheme="minorHAnsi"/>
          <w:color w:val="000000" w:themeColor="text1"/>
          <w:lang w:val="sr-Cyrl-RS" w:eastAsia="en-US"/>
          <w14:textFill>
            <w14:solidFill>
              <w14:schemeClr w14:val="tx1"/>
            </w14:solidFill>
          </w14:textFill>
        </w:rPr>
      </w:pPr>
    </w:p>
    <w:p>
      <w:pPr>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t xml:space="preserve">Због близине Коридора 10, релативно добрих локалних путева и погодне локације у природном окружењу предвиђене од стране Општине у плану је изградња Еко Кампа „Сува планина“. Бизнис план изградње предвидео је камп мешовитог облика смештаја за све врсте кампинг опреме: шатори, шаторске приколице, камп приколице, кампер возила (све врсте интегрисаних кампинг </w:t>
      </w:r>
    </w:p>
    <w:p>
      <w:pPr>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t>возила).</w:t>
      </w:r>
    </w:p>
    <w:p>
      <w:pPr>
        <w:jc w:val="both"/>
        <w:rPr>
          <w:rFonts w:ascii="Arial" w:hAnsi="Arial" w:cs="Arial"/>
          <w:lang w:val="sr-Cyrl-RS"/>
        </w:rPr>
      </w:pPr>
      <w:r>
        <w:rPr>
          <w:rFonts w:ascii="Arial" w:hAnsi="Arial" w:cs="Arial"/>
          <w:color w:val="000000" w:themeColor="text1"/>
          <w:lang w:val="sr-Cyrl-RS"/>
          <w14:textFill>
            <w14:solidFill>
              <w14:schemeClr w14:val="tx1"/>
            </w14:solidFill>
          </w14:textFill>
        </w:rPr>
        <w:t xml:space="preserve">Слика 17. Могући изглед еко кампа, </w:t>
      </w:r>
      <w:r>
        <w:rPr>
          <w:rFonts w:ascii="Arial" w:hAnsi="Arial" w:cs="Arial"/>
          <w:lang w:val="sr-Cyrl-RS"/>
        </w:rPr>
        <w:t xml:space="preserve"> Бизнис плана за развој кампа у општини Гаџин Хан</w:t>
      </w:r>
    </w:p>
    <w:p>
      <w:pPr>
        <w:jc w:val="both"/>
        <w:rPr>
          <w:rFonts w:ascii="Arial" w:hAnsi="Arial" w:cs="Arial" w:eastAsiaTheme="minorHAnsi"/>
          <w:color w:val="000000" w:themeColor="text1"/>
          <w:lang w:val="sr-Cyrl-RS" w:eastAsia="en-US"/>
          <w14:textFill>
            <w14:solidFill>
              <w14:schemeClr w14:val="tx1"/>
            </w14:solidFill>
          </w14:textFill>
        </w:rPr>
      </w:pPr>
    </w:p>
    <w:p>
      <w:pPr>
        <w:jc w:val="both"/>
        <w:rPr>
          <w:rFonts w:ascii="Arial" w:hAnsi="Arial" w:cs="Arial" w:eastAsiaTheme="minorHAnsi"/>
          <w:color w:val="000000" w:themeColor="text1"/>
          <w:lang w:val="sr-Cyrl-RS" w:eastAsia="en-US"/>
          <w14:textFill>
            <w14:solidFill>
              <w14:schemeClr w14:val="tx1"/>
            </w14:solidFill>
          </w14:textFill>
        </w:rPr>
      </w:pPr>
    </w:p>
    <w:p>
      <w:pPr>
        <w:jc w:val="both"/>
        <w:rPr>
          <w:rFonts w:ascii="Arial" w:hAnsi="Arial" w:cs="Arial"/>
          <w:lang w:val="sr-Cyrl-RS"/>
        </w:rPr>
      </w:pPr>
      <w:r>
        <w:rPr>
          <w:rFonts w:ascii="Arial" w:hAnsi="Arial" w:cs="Arial"/>
          <w:color w:val="000000" w:themeColor="text1"/>
          <w:lang w:val="sr-Cyrl-RS"/>
          <w14:textFill>
            <w14:solidFill>
              <w14:schemeClr w14:val="tx1"/>
            </w14:solidFill>
          </w14:textFill>
        </w:rPr>
        <w:t xml:space="preserve">Слика 16. Могући изглед еко кампа, </w:t>
      </w:r>
      <w:r>
        <w:rPr>
          <w:rFonts w:ascii="Arial" w:hAnsi="Arial" w:cs="Arial"/>
          <w:lang w:val="sr-Cyrl-RS"/>
        </w:rPr>
        <w:t xml:space="preserve"> Бизнис плана за развој кампа у општини Извор: Бизнис план, Еко камп Гаџин Хан</w:t>
      </w:r>
      <w:r>
        <w:rPr>
          <w:rFonts w:ascii="Arial" w:hAnsi="Arial" w:cs="Arial"/>
          <w:lang w:eastAsia="en-US"/>
        </w:rPr>
        <w:drawing>
          <wp:anchor distT="0" distB="0" distL="114300" distR="114300" simplePos="0" relativeHeight="251673600" behindDoc="0" locked="0" layoutInCell="1" allowOverlap="1">
            <wp:simplePos x="0" y="0"/>
            <wp:positionH relativeFrom="column">
              <wp:posOffset>0</wp:posOffset>
            </wp:positionH>
            <wp:positionV relativeFrom="paragraph">
              <wp:posOffset>178435</wp:posOffset>
            </wp:positionV>
            <wp:extent cx="5655945" cy="2670175"/>
            <wp:effectExtent l="0" t="0" r="0" b="0"/>
            <wp:wrapTopAndBottom/>
            <wp:docPr id="223" name="Picture 223"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map of a farm&#10;&#10;Description automatically generated"/>
                    <pic:cNvPicPr>
                      <a:picLocks noChangeAspect="1"/>
                    </pic:cNvPicPr>
                  </pic:nvPicPr>
                  <pic:blipFill>
                    <a:blip r:embed="rId30" cstate="email"/>
                    <a:srcRect/>
                    <a:stretch>
                      <a:fillRect/>
                    </a:stretch>
                  </pic:blipFill>
                  <pic:spPr>
                    <a:xfrm>
                      <a:off x="0" y="0"/>
                      <a:ext cx="5655945" cy="2670175"/>
                    </a:xfrm>
                    <a:prstGeom prst="rect">
                      <a:avLst/>
                    </a:prstGeom>
                    <a:ln>
                      <a:noFill/>
                    </a:ln>
                  </pic:spPr>
                </pic:pic>
              </a:graphicData>
            </a:graphic>
          </wp:anchor>
        </w:drawing>
      </w:r>
    </w:p>
    <w:p>
      <w:pPr>
        <w:jc w:val="both"/>
        <w:rPr>
          <w:rFonts w:ascii="Arial" w:hAnsi="Arial" w:cs="Arial"/>
          <w:lang w:val="sr-Cyrl-RS"/>
        </w:rPr>
      </w:pPr>
    </w:p>
    <w:p>
      <w:pPr>
        <w:autoSpaceDE w:val="0"/>
        <w:autoSpaceDN w:val="0"/>
        <w:adjustRightInd w:val="0"/>
        <w:rPr>
          <w:rFonts w:ascii="AppleSystemUIFont" w:hAnsi="AppleSystemUIFont" w:eastAsia="Calibri" w:cs="AppleSystemUIFont"/>
          <w:sz w:val="26"/>
          <w:szCs w:val="26"/>
          <w:lang w:val="sr-Cyrl-RS"/>
        </w:rPr>
      </w:pPr>
      <w:r>
        <w:rPr>
          <w:rFonts w:ascii="AppleSystemUIFont" w:hAnsi="AppleSystemUIFont" w:eastAsia="Calibri" w:cs="AppleSystemUIFont"/>
          <w:sz w:val="26"/>
          <w:szCs w:val="26"/>
          <w:lang w:val="sr-Cyrl-RS"/>
        </w:rPr>
        <w:t>Предвиђени капацитет кампа:</w:t>
      </w:r>
    </w:p>
    <w:p>
      <w:pPr>
        <w:autoSpaceDE w:val="0"/>
        <w:autoSpaceDN w:val="0"/>
        <w:adjustRightInd w:val="0"/>
        <w:rPr>
          <w:rFonts w:ascii="AppleSystemUIFont" w:hAnsi="AppleSystemUIFont" w:eastAsia="Calibri" w:cs="AppleSystemUIFont"/>
          <w:sz w:val="26"/>
          <w:szCs w:val="26"/>
          <w:lang w:val="sr-Cyrl-RS"/>
        </w:rPr>
      </w:pPr>
    </w:p>
    <w:p>
      <w:pPr>
        <w:autoSpaceDE w:val="0"/>
        <w:autoSpaceDN w:val="0"/>
        <w:adjustRightInd w:val="0"/>
        <w:rPr>
          <w:rFonts w:ascii="AppleSystemUIFont" w:hAnsi="AppleSystemUIFont" w:eastAsia="Calibri" w:cs="AppleSystemUIFont"/>
          <w:sz w:val="26"/>
          <w:szCs w:val="26"/>
          <w:lang w:val="sr-Cyrl-RS"/>
        </w:rPr>
      </w:pPr>
      <w:r>
        <w:rPr>
          <w:rFonts w:ascii="AppleSystemUIFont" w:hAnsi="AppleSystemUIFont" w:eastAsia="Calibri" w:cs="AppleSystemUIFont"/>
          <w:sz w:val="26"/>
          <w:szCs w:val="26"/>
          <w:lang w:val="sr-Cyrl-RS"/>
        </w:rPr>
        <w:t>1.    36 кампинг парцела за возила (приколице, моторхоме возила) – парцеле од цца. 50 квм (8 x 6 м)</w:t>
      </w:r>
    </w:p>
    <w:p>
      <w:pPr>
        <w:autoSpaceDE w:val="0"/>
        <w:autoSpaceDN w:val="0"/>
        <w:adjustRightInd w:val="0"/>
        <w:rPr>
          <w:rFonts w:ascii="AppleSystemUIFont" w:hAnsi="AppleSystemUIFont" w:eastAsia="Calibri" w:cs="AppleSystemUIFont"/>
          <w:sz w:val="26"/>
          <w:szCs w:val="26"/>
          <w:lang w:val="sr-Cyrl-RS"/>
        </w:rPr>
      </w:pPr>
      <w:r>
        <w:rPr>
          <w:rFonts w:ascii="AppleSystemUIFont" w:hAnsi="AppleSystemUIFont" w:eastAsia="Calibri" w:cs="AppleSystemUIFont"/>
          <w:sz w:val="26"/>
          <w:szCs w:val="26"/>
          <w:lang w:val="sr-Cyrl-RS"/>
        </w:rPr>
        <w:t>2.    20 кампинг парцела за шаторе (цца. 25 квм)</w:t>
      </w:r>
    </w:p>
    <w:p>
      <w:pPr>
        <w:autoSpaceDE w:val="0"/>
        <w:autoSpaceDN w:val="0"/>
        <w:adjustRightInd w:val="0"/>
        <w:rPr>
          <w:rFonts w:ascii="AppleSystemUIFont" w:hAnsi="AppleSystemUIFont" w:eastAsia="Calibri" w:cs="AppleSystemUIFont"/>
          <w:sz w:val="26"/>
          <w:szCs w:val="26"/>
          <w:lang w:val="sr-Cyrl-RS"/>
        </w:rPr>
      </w:pPr>
      <w:r>
        <w:rPr>
          <w:rFonts w:ascii="AppleSystemUIFont" w:hAnsi="AppleSystemUIFont" w:eastAsia="Calibri" w:cs="AppleSystemUIFont"/>
          <w:sz w:val="26"/>
          <w:szCs w:val="26"/>
          <w:lang w:val="sr-Cyrl-RS"/>
        </w:rPr>
        <w:t xml:space="preserve">3. </w:t>
      </w:r>
      <w:r>
        <w:rPr>
          <w:rFonts w:ascii="Arial" w:hAnsi="Arial" w:cs="Arial"/>
          <w:lang w:val="sr-Cyrl-RS" w:eastAsia="en-US"/>
        </w:rPr>
        <w:t xml:space="preserve">10 паркинг парцела (аутомобили, мотоцикли) </w:t>
      </w:r>
    </w:p>
    <w:p>
      <w:pPr>
        <w:rPr>
          <w:rFonts w:ascii="Arial" w:hAnsi="Arial" w:cs="Arial"/>
          <w:b/>
          <w:bCs/>
          <w:lang w:val="sr-Cyrl-RS" w:eastAsia="en-US"/>
        </w:rPr>
      </w:pPr>
    </w:p>
    <w:p>
      <w:pPr>
        <w:rPr>
          <w:rFonts w:ascii="Arial" w:hAnsi="Arial" w:cs="Arial"/>
          <w:b/>
          <w:bCs/>
          <w:lang w:val="sr-Cyrl-RS" w:eastAsia="en-US"/>
        </w:rPr>
      </w:pPr>
      <w:r>
        <w:rPr>
          <w:rFonts w:ascii="Arial" w:hAnsi="Arial" w:cs="Arial"/>
          <w:b/>
          <w:bCs/>
          <w:lang w:val="sr-Cyrl-RS" w:eastAsia="en-US"/>
        </w:rPr>
        <w:t>Правац доласка: север</w:t>
      </w:r>
    </w:p>
    <w:p>
      <w:pPr>
        <w:rPr>
          <w:rFonts w:ascii="Arial" w:hAnsi="Arial" w:cs="Arial"/>
          <w:lang w:val="sr-Cyrl-RS" w:eastAsia="en-US"/>
        </w:rPr>
      </w:pPr>
      <w:r>
        <w:rPr>
          <w:rFonts w:ascii="Arial" w:hAnsi="Arial" w:cs="Arial"/>
          <w:lang w:val="sr-Cyrl-RS" w:eastAsia="en-US"/>
        </w:rPr>
        <w:t>Од аутопута А1 до Гаџин Хана на путу број 1. 225 (Брестовац толл станица)</w:t>
      </w:r>
    </w:p>
    <w:p>
      <w:pPr>
        <w:rPr>
          <w:rFonts w:ascii="Arial" w:hAnsi="Arial" w:cs="Arial"/>
          <w:lang w:val="sr-Cyrl-RS" w:eastAsia="en-US"/>
        </w:rPr>
      </w:pPr>
      <w:r>
        <w:rPr>
          <w:rFonts w:ascii="Arial" w:hAnsi="Arial" w:cs="Arial"/>
          <w:lang w:val="sr-Cyrl-RS" w:eastAsia="en-US"/>
        </w:rPr>
        <w:t>Заплањска Топоница</w:t>
      </w:r>
    </w:p>
    <w:p>
      <w:pPr>
        <w:rPr>
          <w:rFonts w:ascii="Arial" w:hAnsi="Arial" w:cs="Arial"/>
          <w:lang w:val="sr-Cyrl-RS" w:eastAsia="en-US"/>
        </w:rPr>
      </w:pPr>
      <w:r>
        <w:rPr>
          <w:rFonts w:ascii="Arial" w:hAnsi="Arial" w:cs="Arial"/>
          <w:lang w:val="sr-Cyrl-RS" w:eastAsia="en-US"/>
        </w:rPr>
        <w:t>Доњи и горњи Барбеш</w:t>
      </w:r>
    </w:p>
    <w:p>
      <w:pPr>
        <w:rPr>
          <w:rFonts w:ascii="Arial" w:hAnsi="Arial" w:cs="Arial"/>
          <w:lang w:val="sr-Cyrl-RS" w:eastAsia="en-US"/>
        </w:rPr>
      </w:pPr>
      <w:r>
        <w:rPr>
          <w:rFonts w:ascii="Arial" w:hAnsi="Arial" w:cs="Arial"/>
          <w:lang w:val="sr-Cyrl-RS" w:eastAsia="en-US"/>
        </w:rPr>
        <w:t>Виландрица</w:t>
      </w:r>
    </w:p>
    <w:p>
      <w:pPr>
        <w:rPr>
          <w:rFonts w:ascii="Arial" w:hAnsi="Arial" w:cs="Arial"/>
          <w:lang w:val="sr-Cyrl-RS" w:eastAsia="en-US"/>
        </w:rPr>
      </w:pPr>
      <w:r>
        <w:rPr>
          <w:rFonts w:ascii="Arial" w:hAnsi="Arial" w:cs="Arial"/>
          <w:lang w:val="sr-Cyrl-RS" w:eastAsia="en-US"/>
        </w:rPr>
        <w:t>Грчки</w:t>
      </w:r>
    </w:p>
    <w:p>
      <w:pPr>
        <w:rPr>
          <w:rFonts w:ascii="Arial" w:hAnsi="Arial" w:cs="Arial"/>
          <w:lang w:val="sr-Cyrl-RS" w:eastAsia="en-US"/>
        </w:rPr>
      </w:pPr>
      <w:r>
        <w:rPr>
          <w:rFonts w:ascii="Arial" w:hAnsi="Arial" w:cs="Arial"/>
          <w:lang w:val="sr-Cyrl-RS" w:eastAsia="en-US"/>
        </w:rPr>
        <w:t>Креће се ка рути број 437</w:t>
      </w:r>
    </w:p>
    <w:p>
      <w:pPr>
        <w:rPr>
          <w:rFonts w:ascii="Arial" w:hAnsi="Arial" w:cs="Arial"/>
          <w:lang w:val="sr-Cyrl-RS" w:eastAsia="en-US"/>
        </w:rPr>
      </w:pPr>
      <w:r>
        <w:rPr>
          <w:rFonts w:ascii="Arial" w:hAnsi="Arial" w:cs="Arial"/>
          <w:lang w:val="sr-Cyrl-RS" w:eastAsia="en-US"/>
        </w:rPr>
        <w:t>Краставиижи , краста</w:t>
      </w:r>
    </w:p>
    <w:p>
      <w:pPr>
        <w:rPr>
          <w:rFonts w:ascii="Arial" w:hAnsi="Arial" w:cs="Arial"/>
          <w:lang w:val="sr-Cyrl-RS" w:eastAsia="en-US"/>
        </w:rPr>
      </w:pPr>
      <w:r>
        <w:rPr>
          <w:rFonts w:ascii="Arial" w:hAnsi="Arial" w:cs="Arial"/>
          <w:lang w:val="sr-Cyrl-RS" w:eastAsia="en-US"/>
        </w:rPr>
        <w:t>Доњи Душник – према селу Доње Драговље</w:t>
      </w:r>
    </w:p>
    <w:p>
      <w:pPr>
        <w:rPr>
          <w:rFonts w:ascii="Arial" w:hAnsi="Arial" w:cs="Arial"/>
          <w:lang w:val="sr-Cyrl-RS" w:eastAsia="en-US"/>
        </w:rPr>
      </w:pPr>
    </w:p>
    <w:p>
      <w:pPr>
        <w:rPr>
          <w:rFonts w:ascii="Arial" w:hAnsi="Arial" w:cs="Arial"/>
          <w:b/>
          <w:bCs/>
          <w:lang w:val="sr-Cyrl-RS" w:eastAsia="en-US"/>
        </w:rPr>
      </w:pPr>
      <w:r>
        <w:rPr>
          <w:rFonts w:ascii="Arial" w:hAnsi="Arial" w:cs="Arial"/>
          <w:b/>
          <w:bCs/>
          <w:lang w:val="sr-Cyrl-RS" w:eastAsia="en-US"/>
        </w:rPr>
        <w:t>Правац доласка: југ</w:t>
      </w:r>
    </w:p>
    <w:p>
      <w:pPr>
        <w:rPr>
          <w:rFonts w:ascii="Arial" w:hAnsi="Arial" w:cs="Arial"/>
          <w:lang w:val="sr-Cyrl-RS" w:eastAsia="en-US"/>
        </w:rPr>
      </w:pPr>
      <w:r>
        <w:rPr>
          <w:rFonts w:ascii="Arial" w:hAnsi="Arial" w:cs="Arial"/>
          <w:lang w:val="sr-Cyrl-RS" w:eastAsia="en-US"/>
        </w:rPr>
        <w:t>Протеже се од излаза од аутопута А1 до Лесковаца – Југ преко 437 (30 км)</w:t>
      </w:r>
    </w:p>
    <w:p>
      <w:pPr>
        <w:rPr>
          <w:rFonts w:ascii="Arial" w:hAnsi="Arial" w:cs="Arial"/>
          <w:lang w:val="sr-Cyrl-RS" w:eastAsia="en-US"/>
        </w:rPr>
      </w:pPr>
      <w:r>
        <w:rPr>
          <w:rFonts w:ascii="Arial" w:hAnsi="Arial" w:cs="Arial"/>
          <w:lang w:val="sr-Cyrl-RS" w:eastAsia="en-US"/>
        </w:rPr>
        <w:t>Горња Слатина</w:t>
      </w:r>
    </w:p>
    <w:p>
      <w:pPr>
        <w:rPr>
          <w:rFonts w:ascii="Arial" w:hAnsi="Arial" w:cs="Arial"/>
          <w:lang w:val="sr-Cyrl-RS" w:eastAsia="en-US"/>
        </w:rPr>
      </w:pPr>
      <w:r>
        <w:rPr>
          <w:rFonts w:ascii="Arial" w:hAnsi="Arial" w:cs="Arial"/>
          <w:lang w:val="sr-Cyrl-RS" w:eastAsia="en-US"/>
        </w:rPr>
        <w:t>Приземље</w:t>
      </w:r>
    </w:p>
    <w:p>
      <w:pPr>
        <w:rPr>
          <w:rFonts w:ascii="Arial" w:hAnsi="Arial" w:cs="Arial"/>
          <w:lang w:val="sr-Cyrl-RS" w:eastAsia="en-US"/>
        </w:rPr>
      </w:pPr>
      <w:r>
        <w:rPr>
          <w:rFonts w:ascii="Arial" w:hAnsi="Arial" w:cs="Arial"/>
          <w:lang w:val="sr-Cyrl-RS" w:eastAsia="en-US"/>
        </w:rPr>
        <w:t>Ступница</w:t>
      </w:r>
    </w:p>
    <w:p>
      <w:pPr>
        <w:rPr>
          <w:rFonts w:ascii="Arial" w:hAnsi="Arial"/>
          <w:lang w:val="sr-Cyrl-RS"/>
        </w:rPr>
      </w:pPr>
      <w:r>
        <w:rPr>
          <w:rFonts w:ascii="Arial" w:hAnsi="Arial"/>
          <w:lang w:val="sr-Cyrl-RS"/>
        </w:rPr>
        <w:br w:type="page"/>
      </w:r>
    </w:p>
    <w:p>
      <w:pPr>
        <w:pStyle w:val="3"/>
      </w:pPr>
      <w:bookmarkStart w:id="68" w:name="_Toc159226529"/>
      <w:r>
        <w:t>5.5. Анализа људских ресурса у области туризма и угоститељства јединице локалне самоуправе</w:t>
      </w:r>
      <w:bookmarkEnd w:id="68"/>
    </w:p>
    <w:p>
      <w:pPr>
        <w:spacing w:line="288" w:lineRule="auto"/>
        <w:ind w:right="5"/>
        <w:jc w:val="both"/>
        <w:rPr>
          <w:rFonts w:ascii="Arial" w:hAnsi="Arial" w:eastAsia="Arial"/>
          <w:lang w:val="sr-Cyrl-RS"/>
        </w:rPr>
      </w:pPr>
    </w:p>
    <w:p>
      <w:pPr>
        <w:spacing w:line="288" w:lineRule="auto"/>
        <w:ind w:right="5"/>
        <w:jc w:val="both"/>
        <w:rPr>
          <w:rFonts w:ascii="Arial" w:hAnsi="Arial" w:eastAsia="Arial"/>
          <w:sz w:val="23"/>
          <w:lang w:val="sr-Cyrl-RS"/>
        </w:rPr>
      </w:pPr>
      <w:r>
        <w:rPr>
          <w:rFonts w:ascii="Arial" w:hAnsi="Arial" w:eastAsia="Arial"/>
          <w:lang w:val="sr-Cyrl-RS"/>
        </w:rPr>
        <w:t>Анализа људских ресурса урађена је кроз мапирање стејкхолдера који представља део проактивног приступа у развоју стратегије са дугорочним ефектима. У процесу идентификације стејкхолдера потребно је узети у обзир важност коју они имају, јер немају сви исту моћ или заинтересованост, али сви морају бити узети у обзир и</w:t>
      </w:r>
      <w:r>
        <w:rPr>
          <w:rFonts w:ascii="Arial" w:hAnsi="Arial" w:eastAsia="Arial"/>
          <w:sz w:val="23"/>
          <w:lang w:val="sr-Cyrl-RS"/>
        </w:rPr>
        <w:t xml:space="preserve"> </w:t>
      </w:r>
      <w:r>
        <w:rPr>
          <w:rFonts w:ascii="Arial" w:hAnsi="Arial" w:eastAsia="Arial"/>
          <w:lang w:val="sr-Cyrl-RS"/>
        </w:rPr>
        <w:t>са свима мора бити успостављен одговарајући однос. Поједини стејкхолдери директно утичу на пословни успех, док је код других тај утицај индиректан или мањи.</w:t>
      </w:r>
    </w:p>
    <w:p>
      <w:pPr>
        <w:spacing w:line="135" w:lineRule="exact"/>
        <w:rPr>
          <w:lang w:val="sr-Cyrl-RS"/>
        </w:rPr>
      </w:pPr>
    </w:p>
    <w:p>
      <w:pPr>
        <w:spacing w:line="273" w:lineRule="auto"/>
        <w:ind w:right="5"/>
        <w:jc w:val="both"/>
        <w:rPr>
          <w:rFonts w:ascii="Arial" w:hAnsi="Arial" w:eastAsia="Arial"/>
          <w:lang w:val="sr-Cyrl-RS"/>
        </w:rPr>
      </w:pPr>
      <w:r>
        <w:rPr>
          <w:rFonts w:ascii="Arial" w:hAnsi="Arial" w:eastAsia="Arial"/>
          <w:lang w:val="sr-Cyrl-RS"/>
        </w:rPr>
        <w:t>Овај процес је веома динамичан и представља изазов који је потребно континуирано спроводити с обзиром на чињеницу да се током времена утицаји идентификованих стејкхолдера могу мењати, нпр. због нових партнерстава, променама у личним и новим правцима и слично. Такође, неки стејкхолдери</w:t>
      </w:r>
    </w:p>
    <w:p>
      <w:pPr>
        <w:spacing w:line="0" w:lineRule="atLeast"/>
        <w:ind w:right="5"/>
        <w:jc w:val="center"/>
        <w:rPr>
          <w:lang w:val="sr-Cyrl-RS"/>
        </w:rPr>
        <w:sectPr>
          <w:type w:val="continuous"/>
          <w:pgSz w:w="11900" w:h="16840"/>
          <w:pgMar w:top="707" w:right="1440" w:bottom="551" w:left="1440" w:header="0" w:footer="0" w:gutter="0"/>
          <w:cols w:equalWidth="0" w:num="1">
            <w:col w:w="9025"/>
          </w:cols>
          <w:docGrid w:linePitch="360" w:charSpace="0"/>
        </w:sectPr>
      </w:pPr>
    </w:p>
    <w:p>
      <w:pPr>
        <w:spacing w:line="264" w:lineRule="auto"/>
        <w:ind w:right="20"/>
        <w:rPr>
          <w:rFonts w:ascii="Arial" w:hAnsi="Arial" w:eastAsia="Arial"/>
          <w:lang w:val="sr-Cyrl-RS"/>
        </w:rPr>
      </w:pPr>
      <w:bookmarkStart w:id="69" w:name="page30"/>
      <w:bookmarkEnd w:id="69"/>
      <w:r>
        <w:rPr>
          <w:rFonts w:ascii="Arial" w:hAnsi="Arial" w:eastAsia="Arial"/>
          <w:lang w:val="sr-Cyrl-RS"/>
        </w:rPr>
        <w:t>појединачно немају велику моћ и интересе, али у партнерству са другим стејкхолдерима то могу остварити.</w:t>
      </w:r>
    </w:p>
    <w:p>
      <w:pPr>
        <w:spacing w:line="137" w:lineRule="exact"/>
        <w:rPr>
          <w:lang w:val="sr-Cyrl-RS"/>
        </w:rPr>
      </w:pPr>
    </w:p>
    <w:p>
      <w:pPr>
        <w:spacing w:line="0" w:lineRule="atLeast"/>
        <w:rPr>
          <w:rFonts w:ascii="Arial" w:hAnsi="Arial" w:eastAsia="Arial"/>
          <w:lang w:val="sr-Cyrl-RS"/>
        </w:rPr>
      </w:pPr>
      <w:r>
        <w:rPr>
          <w:rFonts w:ascii="Arial" w:hAnsi="Arial" w:eastAsia="Arial"/>
          <w:lang w:val="sr-Cyrl-RS"/>
        </w:rPr>
        <w:t>На једној од спроведених радионица заједно са доносиоцима одлука (Општина и Туристичка организација) консултанти су спровели оцењивање стејкхолдера у три димензије у односу на ниво утицаја, односно подршке, а то су:</w:t>
      </w:r>
    </w:p>
    <w:p>
      <w:pPr>
        <w:spacing w:line="158" w:lineRule="exact"/>
        <w:rPr>
          <w:lang w:val="sr-Cyrl-RS"/>
        </w:rPr>
      </w:pPr>
    </w:p>
    <w:p>
      <w:pPr>
        <w:numPr>
          <w:ilvl w:val="0"/>
          <w:numId w:val="27"/>
        </w:numPr>
        <w:tabs>
          <w:tab w:val="left" w:pos="720"/>
        </w:tabs>
        <w:spacing w:after="160" w:line="0" w:lineRule="atLeast"/>
        <w:ind w:left="720" w:hanging="359"/>
        <w:rPr>
          <w:lang w:val="sr-Cyrl-RS"/>
        </w:rPr>
      </w:pPr>
      <w:r>
        <w:rPr>
          <w:rFonts w:ascii="Arial" w:hAnsi="Arial" w:eastAsia="Arial"/>
          <w:lang w:val="sr-Cyrl-RS"/>
        </w:rPr>
        <w:t>Снага /моћ - (1-веома ниска, 2-слаба, 3-средња, 4-значајна, 5-велика).</w:t>
      </w:r>
    </w:p>
    <w:p>
      <w:pPr>
        <w:spacing w:line="202" w:lineRule="exact"/>
        <w:rPr>
          <w:lang w:val="sr-Cyrl-RS"/>
        </w:rPr>
      </w:pPr>
    </w:p>
    <w:p>
      <w:pPr>
        <w:numPr>
          <w:ilvl w:val="0"/>
          <w:numId w:val="27"/>
        </w:numPr>
        <w:tabs>
          <w:tab w:val="left" w:pos="720"/>
        </w:tabs>
        <w:spacing w:after="160" w:line="0" w:lineRule="atLeast"/>
        <w:ind w:left="720" w:hanging="359"/>
        <w:rPr>
          <w:lang w:val="sr-Cyrl-RS"/>
        </w:rPr>
      </w:pPr>
      <w:r>
        <w:rPr>
          <w:rFonts w:ascii="Arial" w:hAnsi="Arial" w:eastAsia="Arial"/>
          <w:lang w:val="sr-Cyrl-RS"/>
        </w:rPr>
        <w:t>Заинтересованост – колико је активан (1-веома ниска, 2-слаба, 3-средња,</w:t>
      </w:r>
    </w:p>
    <w:p>
      <w:pPr>
        <w:spacing w:line="39" w:lineRule="exact"/>
        <w:rPr>
          <w:lang w:val="sr-Cyrl-RS"/>
        </w:rPr>
      </w:pPr>
    </w:p>
    <w:p>
      <w:pPr>
        <w:spacing w:line="0" w:lineRule="atLeast"/>
        <w:rPr>
          <w:rFonts w:ascii="Arial" w:hAnsi="Arial" w:eastAsia="Arial"/>
          <w:lang w:val="sr-Cyrl-RS"/>
        </w:rPr>
      </w:pPr>
      <w:r>
        <w:rPr>
          <w:rFonts w:ascii="Arial" w:hAnsi="Arial" w:eastAsia="Arial"/>
          <w:lang w:val="sr-Cyrl-RS"/>
        </w:rPr>
        <w:t>4-значајна , 5-велика).</w:t>
      </w:r>
    </w:p>
    <w:p>
      <w:pPr>
        <w:spacing w:line="210" w:lineRule="exact"/>
        <w:rPr>
          <w:lang w:val="sr-Cyrl-RS"/>
        </w:rPr>
      </w:pPr>
    </w:p>
    <w:p>
      <w:pPr>
        <w:numPr>
          <w:ilvl w:val="0"/>
          <w:numId w:val="27"/>
        </w:numPr>
        <w:tabs>
          <w:tab w:val="left" w:pos="720"/>
        </w:tabs>
        <w:spacing w:after="160" w:line="268" w:lineRule="auto"/>
        <w:ind w:left="720" w:right="660" w:hanging="359"/>
        <w:rPr>
          <w:lang w:val="sr-Cyrl-RS"/>
        </w:rPr>
      </w:pPr>
      <w:r>
        <w:rPr>
          <w:rFonts w:ascii="Arial" w:hAnsi="Arial" w:eastAsia="Arial"/>
          <w:lang w:val="sr-Cyrl-RS"/>
        </w:rPr>
        <w:t>Подршка /отпор (-2: велики противник, -1: кочи, 0: неутралан, 1: даје подршку, 2:</w:t>
      </w:r>
      <w:r>
        <w:rPr>
          <w:lang w:val="sr-Cyrl-RS"/>
        </w:rPr>
        <w:t xml:space="preserve"> </w:t>
      </w:r>
      <w:r>
        <w:rPr>
          <w:rFonts w:ascii="Arial" w:hAnsi="Arial" w:eastAsia="Arial"/>
          <w:lang w:val="sr-Cyrl-RS"/>
        </w:rPr>
        <w:t>активно заговара идеју).</w:t>
      </w:r>
    </w:p>
    <w:p>
      <w:pPr>
        <w:spacing w:line="379" w:lineRule="exact"/>
        <w:rPr>
          <w:lang w:val="sr-Cyrl-RS"/>
        </w:rPr>
      </w:pPr>
    </w:p>
    <w:p>
      <w:pPr>
        <w:tabs>
          <w:tab w:val="left" w:pos="225"/>
        </w:tabs>
        <w:spacing w:line="287" w:lineRule="auto"/>
        <w:jc w:val="both"/>
        <w:rPr>
          <w:rFonts w:ascii="Arial" w:hAnsi="Arial" w:eastAsia="Arial"/>
          <w:lang w:val="sr-Cyrl-RS"/>
        </w:rPr>
        <w:sectPr>
          <w:pgSz w:w="11900" w:h="16840"/>
          <w:pgMar w:top="707" w:right="1425" w:bottom="551" w:left="1440" w:header="0" w:footer="0" w:gutter="0"/>
          <w:cols w:equalWidth="0" w:num="1">
            <w:col w:w="9040"/>
          </w:cols>
          <w:docGrid w:linePitch="360" w:charSpace="0"/>
        </w:sectPr>
      </w:pPr>
      <w:r>
        <w:rPr>
          <w:rFonts w:ascii="Arial" w:hAnsi="Arial" w:eastAsia="Arial"/>
          <w:lang w:val="sr-Cyrl-RS"/>
        </w:rPr>
        <w:t>У следећој табели приказане су категорије стејкхолдера сходно позиционирању у горе приказаној тродимензионалној мапи. У зависности од карактеристика које их по основу претходно приказане три димензије лоцирају у мапи, са становишта пројекта који се разматра, стејкхолдери имају одређене улоге и сходно</w:t>
      </w:r>
      <w:r>
        <w:rPr>
          <w:lang w:val="sr-Cyrl-RS"/>
        </w:rPr>
        <w:t xml:space="preserve"> </w:t>
      </w:r>
      <w:r>
        <w:rPr>
          <w:rFonts w:ascii="Arial" w:hAnsi="Arial" w:eastAsia="Arial"/>
          <w:lang w:val="sr-Cyrl-RS"/>
        </w:rPr>
        <w:t>карактеристикама и улогама, захтевају различити приступ у спровођењу пројекта (нпр. развоја туризма генерално, развоја одређеног туристичког пројекта, увођења неке иновације, промене организације туризма, промене система управљања туристичким развојем итд.).</w:t>
      </w:r>
    </w:p>
    <w:p>
      <w:pPr>
        <w:spacing w:line="364" w:lineRule="exact"/>
        <w:rPr>
          <w:lang w:val="sr-Cyrl-RS"/>
        </w:rPr>
      </w:pPr>
      <w:bookmarkStart w:id="70" w:name="page31"/>
      <w:bookmarkEnd w:id="70"/>
    </w:p>
    <w:p>
      <w:pPr>
        <w:spacing w:line="0" w:lineRule="atLeast"/>
        <w:rPr>
          <w:rFonts w:ascii="Arial" w:hAnsi="Arial" w:eastAsia="Arial"/>
          <w:lang w:val="sr-Cyrl-RS"/>
        </w:rPr>
      </w:pPr>
      <w:r>
        <w:rPr>
          <w:rFonts w:ascii="Arial" w:hAnsi="Arial" w:eastAsia="Arial"/>
          <w:lang w:val="sr-Cyrl-RS"/>
        </w:rPr>
        <w:t>Листа стејкхолдера</w:t>
      </w:r>
    </w:p>
    <w:p>
      <w:pPr>
        <w:spacing w:line="145" w:lineRule="exact"/>
        <w:rPr>
          <w:lang w:val="sr-Cyrl-RS"/>
        </w:rPr>
      </w:pPr>
    </w:p>
    <w:tbl>
      <w:tblPr>
        <w:tblStyle w:val="6"/>
        <w:tblW w:w="0" w:type="auto"/>
        <w:tblInd w:w="10" w:type="dxa"/>
        <w:tblLayout w:type="fixed"/>
        <w:tblCellMar>
          <w:top w:w="0" w:type="dxa"/>
          <w:left w:w="0" w:type="dxa"/>
          <w:bottom w:w="0" w:type="dxa"/>
          <w:right w:w="0" w:type="dxa"/>
        </w:tblCellMar>
      </w:tblPr>
      <w:tblGrid>
        <w:gridCol w:w="400"/>
        <w:gridCol w:w="2680"/>
        <w:gridCol w:w="2980"/>
        <w:gridCol w:w="3320"/>
      </w:tblGrid>
      <w:tr>
        <w:tblPrEx>
          <w:tblCellMar>
            <w:top w:w="0" w:type="dxa"/>
            <w:left w:w="0" w:type="dxa"/>
            <w:bottom w:w="0" w:type="dxa"/>
            <w:right w:w="0" w:type="dxa"/>
          </w:tblCellMar>
        </w:tblPrEx>
        <w:trPr>
          <w:trHeight w:val="295" w:hRule="atLeast"/>
        </w:trPr>
        <w:tc>
          <w:tcPr>
            <w:tcW w:w="3080" w:type="dxa"/>
            <w:gridSpan w:val="2"/>
            <w:tcBorders>
              <w:top w:val="single" w:color="auto" w:sz="8" w:space="0"/>
              <w:left w:val="single" w:color="auto" w:sz="8" w:space="0"/>
              <w:right w:val="single" w:color="auto" w:sz="8" w:space="0"/>
            </w:tcBorders>
            <w:shd w:val="clear" w:color="auto" w:fill="FBE4D5"/>
            <w:vAlign w:val="bottom"/>
          </w:tcPr>
          <w:p>
            <w:pPr>
              <w:spacing w:line="0" w:lineRule="atLeast"/>
              <w:rPr>
                <w:rFonts w:ascii="Arial" w:hAnsi="Arial" w:eastAsia="Arial"/>
                <w:b/>
                <w:lang w:val="sr-Cyrl-RS"/>
              </w:rPr>
            </w:pPr>
            <w:r>
              <w:rPr>
                <w:rFonts w:ascii="Arial" w:hAnsi="Arial" w:eastAsia="Arial"/>
                <w:b/>
                <w:lang w:val="sr-Cyrl-RS"/>
              </w:rPr>
              <w:t>Идентификација</w:t>
            </w:r>
          </w:p>
        </w:tc>
        <w:tc>
          <w:tcPr>
            <w:tcW w:w="2980" w:type="dxa"/>
            <w:tcBorders>
              <w:top w:val="single" w:color="auto" w:sz="8" w:space="0"/>
              <w:right w:val="single" w:color="auto" w:sz="8" w:space="0"/>
            </w:tcBorders>
            <w:shd w:val="clear" w:color="auto" w:fill="FBE4D5"/>
            <w:vAlign w:val="bottom"/>
          </w:tcPr>
          <w:p>
            <w:pPr>
              <w:spacing w:line="0" w:lineRule="atLeast"/>
              <w:rPr>
                <w:rFonts w:ascii="Arial" w:hAnsi="Arial" w:eastAsia="Arial"/>
                <w:b/>
                <w:lang w:val="sr-Cyrl-RS"/>
              </w:rPr>
            </w:pPr>
            <w:r>
              <w:rPr>
                <w:rFonts w:ascii="Arial" w:hAnsi="Arial" w:eastAsia="Arial"/>
                <w:b/>
                <w:lang w:val="sr-Cyrl-RS"/>
              </w:rPr>
              <w:t>Интерес/Снага-моћ</w:t>
            </w:r>
          </w:p>
        </w:tc>
        <w:tc>
          <w:tcPr>
            <w:tcW w:w="3320" w:type="dxa"/>
            <w:tcBorders>
              <w:top w:val="single" w:color="auto" w:sz="8" w:space="0"/>
              <w:right w:val="single" w:color="auto" w:sz="8" w:space="0"/>
            </w:tcBorders>
            <w:shd w:val="clear" w:color="auto" w:fill="FBE4D5"/>
            <w:vAlign w:val="bottom"/>
          </w:tcPr>
          <w:p>
            <w:pPr>
              <w:spacing w:line="0" w:lineRule="atLeast"/>
              <w:rPr>
                <w:rFonts w:ascii="Arial" w:hAnsi="Arial" w:eastAsia="Arial"/>
                <w:b/>
                <w:lang w:val="sr-Cyrl-RS"/>
              </w:rPr>
            </w:pPr>
            <w:r>
              <w:rPr>
                <w:rFonts w:ascii="Arial" w:hAnsi="Arial" w:eastAsia="Arial"/>
                <w:b/>
                <w:lang w:val="sr-Cyrl-RS"/>
              </w:rPr>
              <w:t>Подршка/отпор</w:t>
            </w:r>
          </w:p>
        </w:tc>
      </w:tr>
      <w:tr>
        <w:tblPrEx>
          <w:tblCellMar>
            <w:top w:w="0" w:type="dxa"/>
            <w:left w:w="0" w:type="dxa"/>
            <w:bottom w:w="0" w:type="dxa"/>
            <w:right w:w="0" w:type="dxa"/>
          </w:tblCellMar>
        </w:tblPrEx>
        <w:trPr>
          <w:trHeight w:val="316" w:hRule="atLeast"/>
        </w:trPr>
        <w:tc>
          <w:tcPr>
            <w:tcW w:w="3080" w:type="dxa"/>
            <w:gridSpan w:val="2"/>
            <w:tcBorders>
              <w:left w:val="single" w:color="auto" w:sz="8" w:space="0"/>
              <w:right w:val="single" w:color="auto" w:sz="8" w:space="0"/>
            </w:tcBorders>
            <w:shd w:val="clear" w:color="auto" w:fill="FBE4D5"/>
            <w:vAlign w:val="bottom"/>
          </w:tcPr>
          <w:p>
            <w:pPr>
              <w:spacing w:line="0" w:lineRule="atLeast"/>
              <w:rPr>
                <w:rFonts w:ascii="Arial" w:hAnsi="Arial" w:eastAsia="Arial"/>
                <w:b/>
                <w:lang w:val="sr-Cyrl-RS"/>
              </w:rPr>
            </w:pPr>
            <w:r>
              <w:rPr>
                <w:rFonts w:ascii="Arial" w:hAnsi="Arial" w:eastAsia="Arial"/>
                <w:b/>
                <w:lang w:val="sr-Cyrl-RS"/>
              </w:rPr>
              <w:t>стејкхолдера</w:t>
            </w:r>
          </w:p>
        </w:tc>
        <w:tc>
          <w:tcPr>
            <w:tcW w:w="2980" w:type="dxa"/>
            <w:tcBorders>
              <w:right w:val="single" w:color="auto" w:sz="8" w:space="0"/>
            </w:tcBorders>
            <w:shd w:val="clear" w:color="auto" w:fill="FBE4D5"/>
            <w:vAlign w:val="bottom"/>
          </w:tcPr>
          <w:p>
            <w:pPr>
              <w:spacing w:line="0" w:lineRule="atLeast"/>
              <w:rPr>
                <w:lang w:val="sr-Cyrl-RS"/>
              </w:rPr>
            </w:pPr>
          </w:p>
        </w:tc>
        <w:tc>
          <w:tcPr>
            <w:tcW w:w="3320" w:type="dxa"/>
            <w:tcBorders>
              <w:right w:val="single" w:color="auto" w:sz="8" w:space="0"/>
            </w:tcBorders>
            <w:shd w:val="clear" w:color="auto" w:fill="FBE4D5"/>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3080" w:type="dxa"/>
            <w:gridSpan w:val="2"/>
            <w:tcBorders>
              <w:left w:val="single" w:color="auto" w:sz="8" w:space="0"/>
              <w:right w:val="single" w:color="auto" w:sz="8" w:space="0"/>
            </w:tcBorders>
            <w:shd w:val="clear" w:color="auto" w:fill="FBE4D5"/>
            <w:vAlign w:val="bottom"/>
          </w:tcPr>
          <w:p>
            <w:pPr>
              <w:spacing w:line="0" w:lineRule="atLeast"/>
              <w:rPr>
                <w:rFonts w:ascii="Arial" w:hAnsi="Arial" w:eastAsia="Arial"/>
                <w:b/>
                <w:lang w:val="sr-Cyrl-RS"/>
              </w:rPr>
            </w:pPr>
            <w:r>
              <w:rPr>
                <w:rFonts w:ascii="Arial" w:hAnsi="Arial" w:eastAsia="Arial"/>
                <w:b/>
                <w:lang w:val="sr-Cyrl-RS"/>
              </w:rPr>
              <w:t>Интерес(основне</w:t>
            </w:r>
          </w:p>
        </w:tc>
        <w:tc>
          <w:tcPr>
            <w:tcW w:w="2980" w:type="dxa"/>
            <w:tcBorders>
              <w:right w:val="single" w:color="auto" w:sz="8" w:space="0"/>
            </w:tcBorders>
            <w:shd w:val="clear" w:color="auto" w:fill="FBE4D5"/>
            <w:vAlign w:val="bottom"/>
          </w:tcPr>
          <w:p>
            <w:pPr>
              <w:spacing w:line="0" w:lineRule="atLeast"/>
              <w:rPr>
                <w:lang w:val="sr-Cyrl-RS"/>
              </w:rPr>
            </w:pPr>
          </w:p>
        </w:tc>
        <w:tc>
          <w:tcPr>
            <w:tcW w:w="3320" w:type="dxa"/>
            <w:tcBorders>
              <w:right w:val="single" w:color="auto" w:sz="8" w:space="0"/>
            </w:tcBorders>
            <w:shd w:val="clear" w:color="auto" w:fill="FBE4D5"/>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3080" w:type="dxa"/>
            <w:gridSpan w:val="2"/>
            <w:tcBorders>
              <w:left w:val="single" w:color="auto" w:sz="8" w:space="0"/>
              <w:bottom w:val="single" w:color="FBE4D5" w:sz="8" w:space="0"/>
              <w:right w:val="single" w:color="auto" w:sz="8" w:space="0"/>
            </w:tcBorders>
            <w:shd w:val="clear" w:color="auto" w:fill="FBE4D5"/>
            <w:vAlign w:val="bottom"/>
          </w:tcPr>
          <w:p>
            <w:pPr>
              <w:spacing w:line="0" w:lineRule="atLeast"/>
              <w:rPr>
                <w:rFonts w:ascii="Arial" w:hAnsi="Arial" w:eastAsia="Arial"/>
                <w:b/>
                <w:lang w:val="sr-Cyrl-RS"/>
              </w:rPr>
            </w:pPr>
            <w:r>
              <w:rPr>
                <w:rFonts w:ascii="Arial" w:hAnsi="Arial" w:eastAsia="Arial"/>
                <w:b/>
                <w:lang w:val="sr-Cyrl-RS"/>
              </w:rPr>
              <w:t>информације)</w:t>
            </w:r>
          </w:p>
        </w:tc>
        <w:tc>
          <w:tcPr>
            <w:tcW w:w="2980" w:type="dxa"/>
            <w:tcBorders>
              <w:bottom w:val="single" w:color="FBE4D5" w:sz="8" w:space="0"/>
              <w:right w:val="single" w:color="auto" w:sz="8" w:space="0"/>
            </w:tcBorders>
            <w:shd w:val="clear" w:color="auto" w:fill="FBE4D5"/>
            <w:vAlign w:val="bottom"/>
          </w:tcPr>
          <w:p>
            <w:pPr>
              <w:spacing w:line="0" w:lineRule="atLeast"/>
              <w:rPr>
                <w:lang w:val="sr-Cyrl-RS"/>
              </w:rPr>
            </w:pPr>
          </w:p>
        </w:tc>
        <w:tc>
          <w:tcPr>
            <w:tcW w:w="3320" w:type="dxa"/>
            <w:tcBorders>
              <w:bottom w:val="single" w:color="FBE4D5" w:sz="8" w:space="0"/>
              <w:right w:val="single" w:color="auto" w:sz="8" w:space="0"/>
            </w:tcBorders>
            <w:shd w:val="clear" w:color="auto" w:fill="FBE4D5"/>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400" w:type="dxa"/>
            <w:tcBorders>
              <w:top w:val="single" w:color="auto" w:sz="8" w:space="0"/>
              <w:left w:val="single" w:color="auto" w:sz="8" w:space="0"/>
            </w:tcBorders>
            <w:shd w:val="clear" w:color="auto" w:fill="D9D9D9"/>
            <w:vAlign w:val="bottom"/>
          </w:tcPr>
          <w:p>
            <w:pPr>
              <w:spacing w:line="274" w:lineRule="exact"/>
              <w:rPr>
                <w:rFonts w:ascii="Arial" w:hAnsi="Arial" w:eastAsia="Arial"/>
                <w:b/>
                <w:lang w:val="sr-Cyrl-RS"/>
              </w:rPr>
            </w:pPr>
            <w:r>
              <w:rPr>
                <w:rFonts w:ascii="Arial" w:hAnsi="Arial" w:eastAsia="Arial"/>
                <w:b/>
                <w:lang w:val="sr-Cyrl-RS"/>
              </w:rPr>
              <w:t>1.</w:t>
            </w:r>
          </w:p>
        </w:tc>
        <w:tc>
          <w:tcPr>
            <w:tcW w:w="2680" w:type="dxa"/>
            <w:tcBorders>
              <w:top w:val="single" w:color="auto" w:sz="8" w:space="0"/>
              <w:right w:val="single" w:color="auto" w:sz="8" w:space="0"/>
            </w:tcBorders>
            <w:shd w:val="clear" w:color="auto" w:fill="D9D9D9"/>
            <w:vAlign w:val="bottom"/>
          </w:tcPr>
          <w:p>
            <w:pPr>
              <w:spacing w:line="274" w:lineRule="exact"/>
              <w:rPr>
                <w:rFonts w:ascii="Arial" w:hAnsi="Arial" w:eastAsia="Arial"/>
                <w:b/>
                <w:lang w:val="sr-Cyrl-RS"/>
              </w:rPr>
            </w:pPr>
            <w:r>
              <w:rPr>
                <w:rFonts w:ascii="Arial" w:hAnsi="Arial" w:eastAsia="Arial"/>
                <w:b/>
                <w:lang w:val="sr-Cyrl-RS"/>
              </w:rPr>
              <w:t>Министарство</w:t>
            </w:r>
          </w:p>
        </w:tc>
        <w:tc>
          <w:tcPr>
            <w:tcW w:w="2980" w:type="dxa"/>
            <w:tcBorders>
              <w:top w:val="single" w:color="auto" w:sz="8" w:space="0"/>
              <w:right w:val="single" w:color="auto" w:sz="8" w:space="0"/>
            </w:tcBorders>
            <w:shd w:val="clear" w:color="auto" w:fill="D9D9D9"/>
            <w:vAlign w:val="bottom"/>
          </w:tcPr>
          <w:p>
            <w:pPr>
              <w:spacing w:line="274" w:lineRule="exact"/>
              <w:rPr>
                <w:rFonts w:ascii="Arial" w:hAnsi="Arial" w:eastAsia="Arial"/>
                <w:lang w:val="sr-Cyrl-RS"/>
              </w:rPr>
            </w:pPr>
            <w:r>
              <w:rPr>
                <w:rFonts w:ascii="Arial" w:hAnsi="Arial" w:eastAsia="Arial"/>
                <w:lang w:val="sr-Cyrl-RS"/>
              </w:rPr>
              <w:t>Валоризација</w:t>
            </w:r>
          </w:p>
        </w:tc>
        <w:tc>
          <w:tcPr>
            <w:tcW w:w="3320" w:type="dxa"/>
            <w:tcBorders>
              <w:top w:val="single" w:color="auto" w:sz="8" w:space="0"/>
              <w:right w:val="single" w:color="auto" w:sz="8" w:space="0"/>
            </w:tcBorders>
            <w:shd w:val="clear" w:color="auto" w:fill="D9D9D9"/>
            <w:vAlign w:val="bottom"/>
          </w:tcPr>
          <w:p>
            <w:pPr>
              <w:spacing w:line="274" w:lineRule="exact"/>
              <w:rPr>
                <w:rFonts w:ascii="Arial" w:hAnsi="Arial" w:eastAsia="Arial"/>
                <w:lang w:val="sr-Cyrl-RS"/>
              </w:rPr>
            </w:pPr>
            <w:r>
              <w:rPr>
                <w:rFonts w:ascii="Arial" w:hAnsi="Arial" w:eastAsia="Arial"/>
                <w:lang w:val="sr-Cyrl-RS"/>
              </w:rPr>
              <w:t>Законска регулативе</w:t>
            </w: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rFonts w:ascii="Arial" w:hAnsi="Arial" w:eastAsia="Arial"/>
                <w:b/>
                <w:lang w:val="sr-Cyrl-RS"/>
              </w:rPr>
            </w:pPr>
            <w:r>
              <w:rPr>
                <w:rFonts w:ascii="Arial" w:hAnsi="Arial" w:eastAsia="Arial"/>
                <w:b/>
                <w:lang w:val="sr-Cyrl-RS"/>
              </w:rPr>
              <w:t>туризма и омладине</w:t>
            </w: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туристичких производа.</w:t>
            </w:r>
          </w:p>
        </w:tc>
        <w:tc>
          <w:tcPr>
            <w:tcW w:w="3320" w:type="dxa"/>
            <w:tcBorders>
              <w:right w:val="single" w:color="auto" w:sz="8" w:space="0"/>
            </w:tcBorders>
            <w:shd w:val="clear" w:color="auto" w:fill="D9D9D9"/>
            <w:vAlign w:val="bottom"/>
          </w:tcPr>
          <w:p>
            <w:pPr>
              <w:spacing w:line="0" w:lineRule="atLeast"/>
              <w:rPr>
                <w:rFonts w:ascii="Arial" w:hAnsi="Arial" w:eastAsia="Arial"/>
                <w:highlight w:val="lightGray"/>
                <w:lang w:val="sr-Cyrl-RS"/>
              </w:rPr>
            </w:pPr>
            <w:r>
              <w:rPr>
                <w:rFonts w:ascii="Arial" w:hAnsi="Arial" w:eastAsia="Arial"/>
                <w:highlight w:val="lightGray"/>
                <w:lang w:val="sr-Cyrl-RS"/>
              </w:rPr>
              <w:t>Финансијска подршка кроз</w:t>
            </w: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rFonts w:ascii="Arial" w:hAnsi="Arial" w:eastAsia="Arial"/>
                <w:b/>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Повећање промета</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субвенције и друга</w:t>
            </w:r>
          </w:p>
        </w:tc>
      </w:tr>
      <w:tr>
        <w:tblPrEx>
          <w:tblCellMar>
            <w:top w:w="0" w:type="dxa"/>
            <w:left w:w="0" w:type="dxa"/>
            <w:bottom w:w="0" w:type="dxa"/>
            <w:right w:w="0" w:type="dxa"/>
          </w:tblCellMar>
        </w:tblPrEx>
        <w:trPr>
          <w:trHeight w:val="316"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давања.</w:t>
            </w: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Одрживи развој</w:t>
            </w:r>
          </w:p>
        </w:tc>
        <w:tc>
          <w:tcPr>
            <w:tcW w:w="3320" w:type="dxa"/>
            <w:tcBorders>
              <w:right w:val="single" w:color="auto" w:sz="8" w:space="0"/>
            </w:tcBorders>
            <w:shd w:val="clear" w:color="auto" w:fill="D9D9D9"/>
            <w:vAlign w:val="bottom"/>
          </w:tcPr>
          <w:p>
            <w:pPr>
              <w:spacing w:line="0" w:lineRule="atLeast"/>
              <w:rPr>
                <w:rFonts w:ascii="Arial" w:hAnsi="Arial" w:eastAsia="Arial"/>
                <w:highlight w:val="lightGray"/>
                <w:lang w:val="sr-Cyrl-RS"/>
              </w:rPr>
            </w:pP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туризма.</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Као креатори јавних</w:t>
            </w: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политика имају утицај</w:t>
            </w: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који може да се одржи</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Степен подршке: 2</w:t>
            </w: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креирањем и</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(активно подршка у развоју туризма)</w:t>
            </w: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спровођењем</w:t>
            </w: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туристичке политике,</w:t>
            </w: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мерама подршке,</w:t>
            </w: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6"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w:t>
            </w:r>
          </w:p>
        </w:tc>
        <w:tc>
          <w:tcPr>
            <w:tcW w:w="33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400" w:type="dxa"/>
            <w:tcBorders>
              <w:left w:val="single" w:color="auto" w:sz="8" w:space="0"/>
              <w:bottom w:val="single" w:color="D9D9D9" w:sz="8" w:space="0"/>
            </w:tcBorders>
            <w:shd w:val="clear" w:color="auto" w:fill="D9D9D9"/>
            <w:vAlign w:val="bottom"/>
          </w:tcPr>
          <w:p>
            <w:pPr>
              <w:spacing w:line="0" w:lineRule="atLeast"/>
              <w:rPr>
                <w:lang w:val="sr-Cyrl-RS"/>
              </w:rPr>
            </w:pPr>
          </w:p>
        </w:tc>
        <w:tc>
          <w:tcPr>
            <w:tcW w:w="2680" w:type="dxa"/>
            <w:tcBorders>
              <w:bottom w:val="single" w:color="D9D9D9" w:sz="8" w:space="0"/>
              <w:right w:val="single" w:color="auto" w:sz="8" w:space="0"/>
            </w:tcBorders>
            <w:shd w:val="clear" w:color="auto" w:fill="D9D9D9"/>
            <w:vAlign w:val="bottom"/>
          </w:tcPr>
          <w:p>
            <w:pPr>
              <w:spacing w:line="0" w:lineRule="atLeast"/>
              <w:rPr>
                <w:lang w:val="sr-Cyrl-RS"/>
              </w:rPr>
            </w:pPr>
          </w:p>
        </w:tc>
        <w:tc>
          <w:tcPr>
            <w:tcW w:w="2980" w:type="dxa"/>
            <w:tcBorders>
              <w:bottom w:val="single" w:color="D9D9D9" w:sz="8" w:space="0"/>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Оцена утицаја: 5</w:t>
            </w:r>
          </w:p>
        </w:tc>
        <w:tc>
          <w:tcPr>
            <w:tcW w:w="3320" w:type="dxa"/>
            <w:tcBorders>
              <w:bottom w:val="single" w:color="D9D9D9" w:sz="8" w:space="0"/>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400" w:type="dxa"/>
            <w:tcBorders>
              <w:top w:val="single" w:color="auto" w:sz="8" w:space="0"/>
              <w:lef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2.</w:t>
            </w:r>
          </w:p>
        </w:tc>
        <w:tc>
          <w:tcPr>
            <w:tcW w:w="2680" w:type="dxa"/>
            <w:tcBorders>
              <w:top w:val="single" w:color="auto" w:sz="8" w:space="0"/>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Министарство</w:t>
            </w:r>
          </w:p>
        </w:tc>
        <w:tc>
          <w:tcPr>
            <w:tcW w:w="298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Валоризација културног</w:t>
            </w:r>
          </w:p>
        </w:tc>
        <w:tc>
          <w:tcPr>
            <w:tcW w:w="332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Законска регулативе</w:t>
            </w: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културе</w:t>
            </w: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добра,</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Финансијска подршка кроз</w:t>
            </w: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Унапређење заштите</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субвенције и друга</w:t>
            </w: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културних добара</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давања.</w:t>
            </w: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Успостављање</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одрживог система</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управљања културним</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Добрима</w:t>
            </w: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auto"/>
            <w:vAlign w:val="bottom"/>
          </w:tcPr>
          <w:p>
            <w:pPr>
              <w:spacing w:line="0" w:lineRule="atLeast"/>
              <w:rPr>
                <w:lang w:val="sr-Cyrl-RS"/>
              </w:rPr>
            </w:pPr>
          </w:p>
        </w:tc>
        <w:tc>
          <w:tcPr>
            <w:tcW w:w="2680" w:type="dxa"/>
            <w:tcBorders>
              <w:right w:val="single" w:color="auto" w:sz="8" w:space="0"/>
            </w:tcBorders>
            <w:shd w:val="clear" w:color="auto" w:fill="auto"/>
            <w:vAlign w:val="bottom"/>
          </w:tcPr>
          <w:p>
            <w:pPr>
              <w:spacing w:line="0" w:lineRule="atLeast"/>
              <w:rPr>
                <w:lang w:val="sr-Cyrl-RS"/>
              </w:rPr>
            </w:pP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5</w:t>
            </w: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60" w:hRule="atLeast"/>
        </w:trPr>
        <w:tc>
          <w:tcPr>
            <w:tcW w:w="400" w:type="dxa"/>
            <w:tcBorders>
              <w:left w:val="single" w:color="auto" w:sz="8" w:space="0"/>
              <w:bottom w:val="single" w:color="auto" w:sz="8" w:space="0"/>
            </w:tcBorders>
            <w:shd w:val="clear" w:color="auto" w:fill="auto"/>
            <w:vAlign w:val="bottom"/>
          </w:tcPr>
          <w:p>
            <w:pPr>
              <w:spacing w:line="0" w:lineRule="atLeast"/>
              <w:rPr>
                <w:lang w:val="sr-Cyrl-RS"/>
              </w:rPr>
            </w:pPr>
          </w:p>
        </w:tc>
        <w:tc>
          <w:tcPr>
            <w:tcW w:w="2680" w:type="dxa"/>
            <w:tcBorders>
              <w:bottom w:val="single" w:color="auto" w:sz="8" w:space="0"/>
              <w:right w:val="single" w:color="auto" w:sz="8" w:space="0"/>
            </w:tcBorders>
            <w:shd w:val="clear" w:color="auto" w:fill="auto"/>
            <w:vAlign w:val="bottom"/>
          </w:tcPr>
          <w:p>
            <w:pPr>
              <w:spacing w:line="0" w:lineRule="atLeast"/>
              <w:rPr>
                <w:lang w:val="sr-Cyrl-RS"/>
              </w:rPr>
            </w:pPr>
          </w:p>
        </w:tc>
        <w:tc>
          <w:tcPr>
            <w:tcW w:w="2980" w:type="dxa"/>
            <w:tcBorders>
              <w:bottom w:val="single" w:color="auto" w:sz="8" w:space="0"/>
              <w:right w:val="single" w:color="auto" w:sz="8" w:space="0"/>
            </w:tcBorders>
            <w:shd w:val="clear" w:color="auto" w:fill="auto"/>
            <w:vAlign w:val="bottom"/>
          </w:tcPr>
          <w:p>
            <w:pPr>
              <w:spacing w:line="0" w:lineRule="atLeast"/>
              <w:rPr>
                <w:lang w:val="sr-Cyrl-RS"/>
              </w:rPr>
            </w:pPr>
          </w:p>
        </w:tc>
        <w:tc>
          <w:tcPr>
            <w:tcW w:w="3320" w:type="dxa"/>
            <w:tcBorders>
              <w:bottom w:val="single" w:color="auto" w:sz="8" w:space="0"/>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400" w:type="dxa"/>
            <w:tcBorders>
              <w:left w:val="single" w:color="auto" w:sz="8" w:space="0"/>
            </w:tcBorders>
            <w:shd w:val="clear" w:color="auto" w:fill="D9D9D9"/>
            <w:vAlign w:val="bottom"/>
          </w:tcPr>
          <w:p>
            <w:pPr>
              <w:spacing w:line="0" w:lineRule="atLeast"/>
              <w:rPr>
                <w:rFonts w:ascii="Arial" w:hAnsi="Arial" w:eastAsia="Arial"/>
                <w:b/>
                <w:lang w:val="sr-Cyrl-RS"/>
              </w:rPr>
            </w:pPr>
            <w:r>
              <w:rPr>
                <w:rFonts w:ascii="Arial" w:hAnsi="Arial" w:eastAsia="Arial"/>
                <w:b/>
                <w:lang w:val="sr-Cyrl-RS"/>
              </w:rPr>
              <w:t>3.</w:t>
            </w:r>
          </w:p>
        </w:tc>
        <w:tc>
          <w:tcPr>
            <w:tcW w:w="2680" w:type="dxa"/>
            <w:tcBorders>
              <w:right w:val="single" w:color="auto" w:sz="8" w:space="0"/>
            </w:tcBorders>
            <w:shd w:val="clear" w:color="auto" w:fill="D9D9D9"/>
            <w:vAlign w:val="bottom"/>
          </w:tcPr>
          <w:p>
            <w:pPr>
              <w:spacing w:line="0" w:lineRule="atLeast"/>
              <w:rPr>
                <w:rFonts w:ascii="Arial" w:hAnsi="Arial" w:eastAsia="Arial"/>
                <w:b/>
                <w:lang w:val="sr-Cyrl-RS"/>
              </w:rPr>
            </w:pPr>
            <w:r>
              <w:rPr>
                <w:rFonts w:ascii="Arial" w:hAnsi="Arial" w:eastAsia="Arial"/>
                <w:b/>
                <w:lang w:val="sr-Cyrl-RS"/>
              </w:rPr>
              <w:t>Министарство за</w:t>
            </w:r>
          </w:p>
        </w:tc>
        <w:tc>
          <w:tcPr>
            <w:tcW w:w="2980" w:type="dxa"/>
            <w:tcBorders>
              <w:right w:val="single" w:color="auto" w:sz="8" w:space="0"/>
            </w:tcBorders>
            <w:shd w:val="clear" w:color="auto" w:fill="D9D9D9"/>
            <w:vAlign w:val="bottom"/>
          </w:tcPr>
          <w:p>
            <w:pPr>
              <w:spacing w:line="0" w:lineRule="atLeast"/>
              <w:rPr>
                <w:rFonts w:ascii="Arial" w:hAnsi="Arial" w:eastAsia="Arial"/>
                <w:highlight w:val="lightGray"/>
                <w:lang w:val="sr-Cyrl-RS"/>
              </w:rPr>
            </w:pPr>
            <w:r>
              <w:rPr>
                <w:rFonts w:ascii="Arial" w:hAnsi="Arial" w:eastAsia="Arial"/>
                <w:highlight w:val="lightGray"/>
                <w:lang w:val="sr-Cyrl-RS"/>
              </w:rPr>
              <w:t>Стратешко сагледавање</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Стратешко сагледавање</w:t>
            </w:r>
          </w:p>
        </w:tc>
      </w:tr>
      <w:tr>
        <w:tblPrEx>
          <w:tblCellMar>
            <w:top w:w="0" w:type="dxa"/>
            <w:left w:w="0" w:type="dxa"/>
            <w:bottom w:w="0" w:type="dxa"/>
            <w:right w:w="0" w:type="dxa"/>
          </w:tblCellMar>
        </w:tblPrEx>
        <w:trPr>
          <w:trHeight w:val="320"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rFonts w:ascii="Arial" w:hAnsi="Arial" w:eastAsia="Arial"/>
                <w:b/>
                <w:lang w:val="sr-Cyrl-RS"/>
              </w:rPr>
            </w:pPr>
            <w:r>
              <w:rPr>
                <w:rFonts w:ascii="Arial" w:hAnsi="Arial" w:eastAsia="Arial"/>
                <w:b/>
                <w:lang w:val="sr-Cyrl-RS"/>
              </w:rPr>
              <w:t>бригу о селу</w:t>
            </w:r>
          </w:p>
        </w:tc>
        <w:tc>
          <w:tcPr>
            <w:tcW w:w="2980" w:type="dxa"/>
            <w:tcBorders>
              <w:right w:val="single" w:color="auto" w:sz="8" w:space="0"/>
            </w:tcBorders>
            <w:shd w:val="clear" w:color="auto" w:fill="D9D9D9"/>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положаја села и сеоског</w:t>
            </w:r>
          </w:p>
        </w:tc>
        <w:tc>
          <w:tcPr>
            <w:tcW w:w="332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положаја села и сеоског</w:t>
            </w:r>
          </w:p>
        </w:tc>
      </w:tr>
      <w:tr>
        <w:tblPrEx>
          <w:tblCellMar>
            <w:top w:w="0" w:type="dxa"/>
            <w:left w:w="0" w:type="dxa"/>
            <w:bottom w:w="0" w:type="dxa"/>
            <w:right w:w="0" w:type="dxa"/>
          </w:tblCellMar>
        </w:tblPrEx>
        <w:trPr>
          <w:trHeight w:val="315" w:hRule="atLeast"/>
        </w:trPr>
        <w:tc>
          <w:tcPr>
            <w:tcW w:w="400" w:type="dxa"/>
            <w:tcBorders>
              <w:left w:val="single" w:color="auto" w:sz="8" w:space="0"/>
            </w:tcBorders>
            <w:shd w:val="clear" w:color="auto" w:fill="D9D9D9"/>
            <w:vAlign w:val="bottom"/>
          </w:tcPr>
          <w:p>
            <w:pPr>
              <w:spacing w:line="0" w:lineRule="atLeast"/>
              <w:rPr>
                <w:lang w:val="sr-Cyrl-RS"/>
              </w:rPr>
            </w:pPr>
          </w:p>
        </w:tc>
        <w:tc>
          <w:tcPr>
            <w:tcW w:w="2680" w:type="dxa"/>
            <w:tcBorders>
              <w:right w:val="single" w:color="auto" w:sz="8" w:space="0"/>
            </w:tcBorders>
            <w:shd w:val="clear" w:color="auto" w:fill="D9D9D9"/>
            <w:vAlign w:val="bottom"/>
          </w:tcPr>
          <w:p>
            <w:pPr>
              <w:spacing w:line="0" w:lineRule="atLeast"/>
              <w:rPr>
                <w:lang w:val="sr-Cyrl-RS"/>
              </w:rPr>
            </w:pPr>
          </w:p>
        </w:tc>
        <w:tc>
          <w:tcPr>
            <w:tcW w:w="2980" w:type="dxa"/>
            <w:tcBorders>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становништва;</w:t>
            </w:r>
          </w:p>
        </w:tc>
        <w:tc>
          <w:tcPr>
            <w:tcW w:w="3320" w:type="dxa"/>
            <w:tcBorders>
              <w:right w:val="single" w:color="auto" w:sz="8" w:space="0"/>
            </w:tcBorders>
            <w:shd w:val="clear" w:color="auto" w:fill="D9D9D9"/>
            <w:vAlign w:val="bottom"/>
          </w:tcPr>
          <w:p>
            <w:pPr>
              <w:spacing w:line="0" w:lineRule="atLeast"/>
              <w:rPr>
                <w:rFonts w:ascii="Arial" w:hAnsi="Arial" w:eastAsia="Arial"/>
                <w:highlight w:val="lightGray"/>
                <w:lang w:val="sr-Cyrl-RS"/>
              </w:rPr>
            </w:pPr>
            <w:r>
              <w:rPr>
                <w:rFonts w:ascii="Arial" w:hAnsi="Arial" w:eastAsia="Arial"/>
                <w:highlight w:val="lightGray"/>
                <w:lang w:val="sr-Cyrl-RS"/>
              </w:rPr>
              <w:t>становништва; предлагање</w:t>
            </w:r>
          </w:p>
        </w:tc>
      </w:tr>
      <w:tr>
        <w:tblPrEx>
          <w:tblCellMar>
            <w:top w:w="0" w:type="dxa"/>
            <w:left w:w="0" w:type="dxa"/>
            <w:bottom w:w="0" w:type="dxa"/>
            <w:right w:w="0" w:type="dxa"/>
          </w:tblCellMar>
        </w:tblPrEx>
        <w:trPr>
          <w:trHeight w:val="365" w:hRule="atLeast"/>
        </w:trPr>
        <w:tc>
          <w:tcPr>
            <w:tcW w:w="400" w:type="dxa"/>
            <w:tcBorders>
              <w:left w:val="single" w:color="auto" w:sz="8" w:space="0"/>
              <w:bottom w:val="single" w:color="D9D9D9" w:sz="8" w:space="0"/>
            </w:tcBorders>
            <w:shd w:val="clear" w:color="auto" w:fill="D9D9D9"/>
            <w:vAlign w:val="bottom"/>
          </w:tcPr>
          <w:p>
            <w:pPr>
              <w:spacing w:line="0" w:lineRule="atLeast"/>
              <w:rPr>
                <w:lang w:val="sr-Cyrl-RS"/>
              </w:rPr>
            </w:pPr>
          </w:p>
        </w:tc>
        <w:tc>
          <w:tcPr>
            <w:tcW w:w="2680" w:type="dxa"/>
            <w:tcBorders>
              <w:bottom w:val="single" w:color="D9D9D9" w:sz="8" w:space="0"/>
              <w:right w:val="single" w:color="auto" w:sz="8" w:space="0"/>
            </w:tcBorders>
            <w:shd w:val="clear" w:color="auto" w:fill="D9D9D9"/>
            <w:vAlign w:val="bottom"/>
          </w:tcPr>
          <w:p>
            <w:pPr>
              <w:spacing w:line="0" w:lineRule="atLeast"/>
              <w:rPr>
                <w:lang w:val="sr-Cyrl-RS"/>
              </w:rPr>
            </w:pPr>
          </w:p>
        </w:tc>
        <w:tc>
          <w:tcPr>
            <w:tcW w:w="2980" w:type="dxa"/>
            <w:tcBorders>
              <w:bottom w:val="single" w:color="D9D9D9" w:sz="8" w:space="0"/>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предлагање мера и</w:t>
            </w:r>
          </w:p>
        </w:tc>
        <w:tc>
          <w:tcPr>
            <w:tcW w:w="3320" w:type="dxa"/>
            <w:tcBorders>
              <w:bottom w:val="single" w:color="D9D9D9" w:sz="8" w:space="0"/>
              <w:right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мера и активности за</w:t>
            </w:r>
          </w:p>
        </w:tc>
      </w:tr>
      <w:tr>
        <w:tblPrEx>
          <w:tblCellMar>
            <w:top w:w="0" w:type="dxa"/>
            <w:left w:w="0" w:type="dxa"/>
            <w:bottom w:w="0" w:type="dxa"/>
            <w:right w:w="0" w:type="dxa"/>
          </w:tblCellMar>
        </w:tblPrEx>
        <w:trPr>
          <w:trHeight w:val="490" w:hRule="atLeast"/>
        </w:trPr>
        <w:tc>
          <w:tcPr>
            <w:tcW w:w="400" w:type="dxa"/>
            <w:tcBorders>
              <w:top w:val="single" w:color="auto" w:sz="8" w:space="0"/>
            </w:tcBorders>
            <w:shd w:val="clear" w:color="auto" w:fill="auto"/>
            <w:vAlign w:val="bottom"/>
          </w:tcPr>
          <w:p>
            <w:pPr>
              <w:spacing w:line="0" w:lineRule="atLeast"/>
              <w:rPr>
                <w:lang w:val="sr-Cyrl-RS"/>
              </w:rPr>
            </w:pPr>
          </w:p>
        </w:tc>
        <w:tc>
          <w:tcPr>
            <w:tcW w:w="2680" w:type="dxa"/>
            <w:tcBorders>
              <w:top w:val="single" w:color="auto" w:sz="8" w:space="0"/>
            </w:tcBorders>
            <w:shd w:val="clear" w:color="auto" w:fill="auto"/>
            <w:vAlign w:val="bottom"/>
          </w:tcPr>
          <w:p>
            <w:pPr>
              <w:spacing w:line="0" w:lineRule="atLeast"/>
              <w:rPr>
                <w:lang w:val="sr-Cyrl-RS"/>
              </w:rPr>
            </w:pPr>
          </w:p>
        </w:tc>
        <w:tc>
          <w:tcPr>
            <w:tcW w:w="2980" w:type="dxa"/>
            <w:tcBorders>
              <w:top w:val="single" w:color="auto" w:sz="8" w:space="0"/>
            </w:tcBorders>
            <w:shd w:val="clear" w:color="auto" w:fill="auto"/>
            <w:vAlign w:val="bottom"/>
          </w:tcPr>
          <w:p>
            <w:pPr>
              <w:spacing w:line="0" w:lineRule="atLeast"/>
              <w:rPr>
                <w:lang w:val="sr-Cyrl-RS"/>
              </w:rPr>
            </w:pPr>
          </w:p>
        </w:tc>
        <w:tc>
          <w:tcPr>
            <w:tcW w:w="3320" w:type="dxa"/>
            <w:tcBorders>
              <w:top w:val="single" w:color="auto" w:sz="8" w:space="0"/>
            </w:tcBorders>
            <w:shd w:val="clear" w:color="auto" w:fill="auto"/>
            <w:vAlign w:val="bottom"/>
          </w:tcPr>
          <w:p>
            <w:pPr>
              <w:spacing w:line="0" w:lineRule="atLeast"/>
              <w:rPr>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83" w:lineRule="exact"/>
        <w:rPr>
          <w:lang w:val="sr-Cyrl-RS"/>
        </w:rPr>
      </w:pPr>
      <w:bookmarkStart w:id="71" w:name="page32"/>
      <w:bookmarkEnd w:id="71"/>
    </w:p>
    <w:tbl>
      <w:tblPr>
        <w:tblStyle w:val="6"/>
        <w:tblW w:w="0" w:type="auto"/>
        <w:tblInd w:w="10" w:type="dxa"/>
        <w:tblLayout w:type="fixed"/>
        <w:tblCellMar>
          <w:top w:w="0" w:type="dxa"/>
          <w:left w:w="0" w:type="dxa"/>
          <w:bottom w:w="0" w:type="dxa"/>
          <w:right w:w="0" w:type="dxa"/>
        </w:tblCellMar>
      </w:tblPr>
      <w:tblGrid>
        <w:gridCol w:w="120"/>
        <w:gridCol w:w="280"/>
        <w:gridCol w:w="2560"/>
        <w:gridCol w:w="120"/>
        <w:gridCol w:w="100"/>
        <w:gridCol w:w="2760"/>
        <w:gridCol w:w="120"/>
        <w:gridCol w:w="100"/>
        <w:gridCol w:w="3100"/>
        <w:gridCol w:w="120"/>
      </w:tblGrid>
      <w:tr>
        <w:tblPrEx>
          <w:tblCellMar>
            <w:top w:w="0" w:type="dxa"/>
            <w:left w:w="0" w:type="dxa"/>
            <w:bottom w:w="0" w:type="dxa"/>
            <w:right w:w="0" w:type="dxa"/>
          </w:tblCellMar>
        </w:tblPrEx>
        <w:trPr>
          <w:trHeight w:val="295" w:hRule="atLeast"/>
        </w:trPr>
        <w:tc>
          <w:tcPr>
            <w:tcW w:w="120" w:type="dxa"/>
            <w:tcBorders>
              <w:top w:val="single" w:color="auto" w:sz="8" w:space="0"/>
              <w:left w:val="single" w:color="auto" w:sz="8" w:space="0"/>
            </w:tcBorders>
            <w:shd w:val="clear" w:color="auto" w:fill="D9D9D9"/>
            <w:vAlign w:val="bottom"/>
          </w:tcPr>
          <w:p>
            <w:pPr>
              <w:spacing w:line="0" w:lineRule="atLeast"/>
              <w:rPr>
                <w:lang w:val="sr-Cyrl-RS"/>
              </w:rPr>
            </w:pPr>
          </w:p>
        </w:tc>
        <w:tc>
          <w:tcPr>
            <w:tcW w:w="280" w:type="dxa"/>
            <w:tcBorders>
              <w:top w:val="single" w:color="auto" w:sz="8" w:space="0"/>
            </w:tcBorders>
            <w:shd w:val="clear" w:color="auto" w:fill="D9D9D9"/>
            <w:vAlign w:val="bottom"/>
          </w:tcPr>
          <w:p>
            <w:pPr>
              <w:spacing w:line="0" w:lineRule="atLeast"/>
              <w:rPr>
                <w:lang w:val="sr-Cyrl-RS"/>
              </w:rPr>
            </w:pPr>
          </w:p>
        </w:tc>
        <w:tc>
          <w:tcPr>
            <w:tcW w:w="2560" w:type="dxa"/>
            <w:tcBorders>
              <w:top w:val="single" w:color="auto" w:sz="8" w:space="0"/>
            </w:tcBorders>
            <w:shd w:val="clear" w:color="auto" w:fill="D9D9D9"/>
            <w:vAlign w:val="bottom"/>
          </w:tcPr>
          <w:p>
            <w:pPr>
              <w:spacing w:line="0" w:lineRule="atLeast"/>
              <w:rPr>
                <w:lang w:val="sr-Cyrl-RS"/>
              </w:rPr>
            </w:pPr>
          </w:p>
        </w:tc>
        <w:tc>
          <w:tcPr>
            <w:tcW w:w="120" w:type="dxa"/>
            <w:tcBorders>
              <w:top w:val="single" w:color="auto" w:sz="8" w:space="0"/>
              <w:right w:val="single" w:color="auto" w:sz="8" w:space="0"/>
            </w:tcBorders>
            <w:shd w:val="clear" w:color="auto" w:fill="D9D9D9"/>
            <w:vAlign w:val="bottom"/>
          </w:tcPr>
          <w:p>
            <w:pPr>
              <w:spacing w:line="0" w:lineRule="atLeast"/>
              <w:rPr>
                <w:lang w:val="sr-Cyrl-RS"/>
              </w:rPr>
            </w:pPr>
          </w:p>
        </w:tc>
        <w:tc>
          <w:tcPr>
            <w:tcW w:w="100" w:type="dxa"/>
            <w:tcBorders>
              <w:top w:val="single" w:color="auto" w:sz="8" w:space="0"/>
            </w:tcBorders>
            <w:shd w:val="clear" w:color="auto" w:fill="D9D9D9"/>
            <w:vAlign w:val="bottom"/>
          </w:tcPr>
          <w:p>
            <w:pPr>
              <w:spacing w:line="0" w:lineRule="atLeast"/>
              <w:rPr>
                <w:lang w:val="sr-Cyrl-RS"/>
              </w:rPr>
            </w:pPr>
          </w:p>
        </w:tc>
        <w:tc>
          <w:tcPr>
            <w:tcW w:w="2760" w:type="dxa"/>
            <w:tcBorders>
              <w:top w:val="single" w:color="auto"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активности за</w:t>
            </w:r>
          </w:p>
        </w:tc>
        <w:tc>
          <w:tcPr>
            <w:tcW w:w="120" w:type="dxa"/>
            <w:tcBorders>
              <w:top w:val="single" w:color="auto" w:sz="8" w:space="0"/>
              <w:right w:val="single" w:color="auto" w:sz="8" w:space="0"/>
            </w:tcBorders>
            <w:shd w:val="clear" w:color="auto" w:fill="D9D9D9"/>
            <w:vAlign w:val="bottom"/>
          </w:tcPr>
          <w:p>
            <w:pPr>
              <w:spacing w:line="0" w:lineRule="atLeast"/>
              <w:rPr>
                <w:lang w:val="sr-Cyrl-RS"/>
              </w:rPr>
            </w:pPr>
          </w:p>
        </w:tc>
        <w:tc>
          <w:tcPr>
            <w:tcW w:w="100" w:type="dxa"/>
            <w:tcBorders>
              <w:top w:val="single" w:color="auto" w:sz="8" w:space="0"/>
            </w:tcBorders>
            <w:shd w:val="clear" w:color="auto" w:fill="D9D9D9"/>
            <w:vAlign w:val="bottom"/>
          </w:tcPr>
          <w:p>
            <w:pPr>
              <w:spacing w:line="0" w:lineRule="atLeast"/>
              <w:rPr>
                <w:lang w:val="sr-Cyrl-RS"/>
              </w:rPr>
            </w:pPr>
          </w:p>
        </w:tc>
        <w:tc>
          <w:tcPr>
            <w:tcW w:w="3100" w:type="dxa"/>
            <w:tcBorders>
              <w:top w:val="single" w:color="auto" w:sz="8" w:space="0"/>
            </w:tcBorders>
            <w:shd w:val="clear" w:color="auto" w:fill="D9D9D9"/>
            <w:vAlign w:val="bottom"/>
          </w:tcPr>
          <w:p>
            <w:pPr>
              <w:spacing w:line="0" w:lineRule="atLeast"/>
              <w:rPr>
                <w:rFonts w:ascii="Arial" w:hAnsi="Arial" w:eastAsia="Arial"/>
                <w:w w:val="99"/>
                <w:highlight w:val="lightGray"/>
                <w:lang w:val="sr-Cyrl-RS"/>
              </w:rPr>
            </w:pPr>
            <w:r>
              <w:rPr>
                <w:rFonts w:ascii="Arial" w:hAnsi="Arial" w:eastAsia="Arial"/>
                <w:w w:val="99"/>
                <w:highlight w:val="lightGray"/>
                <w:lang w:val="sr-Cyrl-RS"/>
              </w:rPr>
              <w:t>унапређење услова живота</w:t>
            </w:r>
          </w:p>
        </w:tc>
        <w:tc>
          <w:tcPr>
            <w:tcW w:w="120" w:type="dxa"/>
            <w:tcBorders>
              <w:top w:val="single" w:color="auto" w:sz="8" w:space="0"/>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унапређење услова</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и рада на селу; неговање</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живота и рада на селу;</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традиције и</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неговање традиције и</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традиционалног начина</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highlight w:val="lightGray"/>
                <w:lang w:val="sr-Cyrl-RS"/>
              </w:rPr>
            </w:pPr>
            <w:r>
              <w:rPr>
                <w:rFonts w:ascii="Arial" w:hAnsi="Arial" w:eastAsia="Arial"/>
                <w:highlight w:val="lightGray"/>
                <w:lang w:val="sr-Cyrl-RS"/>
              </w:rPr>
              <w:t>традиционалног начина</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живота на селу, ради</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живота на селу, ради</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очувања културно-</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очувања културно-</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историјских садржаја</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историјских садржаја</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сеоских средина, као и</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сеоских средина, као и</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друге послове одређене</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6"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друге послове одређене</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законом.</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законом.</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9D9D9"/>
            <w:vAlign w:val="bottom"/>
          </w:tcPr>
          <w:p>
            <w:pPr>
              <w:spacing w:line="0" w:lineRule="atLeast"/>
              <w:rPr>
                <w:lang w:val="sr-Cyrl-RS"/>
              </w:rPr>
            </w:pPr>
          </w:p>
        </w:tc>
        <w:tc>
          <w:tcPr>
            <w:tcW w:w="280" w:type="dxa"/>
            <w:shd w:val="clear" w:color="auto" w:fill="D9D9D9"/>
            <w:vAlign w:val="bottom"/>
          </w:tcPr>
          <w:p>
            <w:pPr>
              <w:spacing w:line="0" w:lineRule="atLeast"/>
              <w:rPr>
                <w:lang w:val="sr-Cyrl-RS"/>
              </w:rPr>
            </w:pPr>
          </w:p>
        </w:tc>
        <w:tc>
          <w:tcPr>
            <w:tcW w:w="2560" w:type="dxa"/>
            <w:shd w:val="clear" w:color="auto" w:fill="D9D9D9"/>
            <w:vAlign w:val="bottom"/>
          </w:tcPr>
          <w:p>
            <w:pPr>
              <w:spacing w:line="0" w:lineRule="atLeast"/>
              <w:rPr>
                <w:lang w:val="sr-Cyrl-RS"/>
              </w:rPr>
            </w:pP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2760" w:type="dxa"/>
            <w:shd w:val="clear" w:color="auto" w:fill="D9D9D9"/>
            <w:vAlign w:val="bottom"/>
          </w:tcPr>
          <w:p>
            <w:pPr>
              <w:spacing w:line="0" w:lineRule="atLeast"/>
              <w:rPr>
                <w:rFonts w:ascii="Arial" w:hAnsi="Arial" w:eastAsia="Arial"/>
                <w:lang w:val="sr-Cyrl-RS"/>
              </w:rPr>
            </w:pPr>
            <w:r>
              <w:rPr>
                <w:rFonts w:ascii="Arial" w:hAnsi="Arial" w:eastAsia="Arial"/>
                <w:lang w:val="sr-Cyrl-RS"/>
              </w:rPr>
              <w:t>Оцена интереса: 3</w:t>
            </w:r>
          </w:p>
        </w:tc>
        <w:tc>
          <w:tcPr>
            <w:tcW w:w="120" w:type="dxa"/>
            <w:tcBorders>
              <w:right w:val="single" w:color="auto" w:sz="8" w:space="0"/>
            </w:tcBorders>
            <w:shd w:val="clear" w:color="auto" w:fill="D9D9D9"/>
            <w:vAlign w:val="bottom"/>
          </w:tcPr>
          <w:p>
            <w:pPr>
              <w:spacing w:line="0" w:lineRule="atLeast"/>
              <w:rPr>
                <w:lang w:val="sr-Cyrl-RS"/>
              </w:rPr>
            </w:pPr>
          </w:p>
        </w:tc>
        <w:tc>
          <w:tcPr>
            <w:tcW w:w="100" w:type="dxa"/>
            <w:shd w:val="clear" w:color="auto" w:fill="D9D9D9"/>
            <w:vAlign w:val="bottom"/>
          </w:tcPr>
          <w:p>
            <w:pPr>
              <w:spacing w:line="0" w:lineRule="atLeast"/>
              <w:rPr>
                <w:lang w:val="sr-Cyrl-RS"/>
              </w:rPr>
            </w:pPr>
          </w:p>
        </w:tc>
        <w:tc>
          <w:tcPr>
            <w:tcW w:w="3100" w:type="dxa"/>
            <w:shd w:val="clear" w:color="auto" w:fill="D9D9D9"/>
            <w:vAlign w:val="bottom"/>
          </w:tcPr>
          <w:p>
            <w:pPr>
              <w:spacing w:line="0" w:lineRule="atLeast"/>
              <w:rPr>
                <w:rFonts w:ascii="Arial" w:hAnsi="Arial" w:eastAsia="Arial"/>
                <w:lang w:val="sr-Cyrl-RS"/>
              </w:rPr>
            </w:pPr>
            <w:r>
              <w:rPr>
                <w:rFonts w:ascii="Arial" w:hAnsi="Arial" w:eastAsia="Arial"/>
                <w:lang w:val="sr-Cyrl-RS"/>
              </w:rPr>
              <w:t>Степен подршке: 1</w:t>
            </w:r>
          </w:p>
        </w:tc>
        <w:tc>
          <w:tcPr>
            <w:tcW w:w="120" w:type="dxa"/>
            <w:tcBorders>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9D9D9" w:sz="8" w:space="0"/>
            </w:tcBorders>
            <w:shd w:val="clear" w:color="auto" w:fill="D9D9D9"/>
            <w:vAlign w:val="bottom"/>
          </w:tcPr>
          <w:p>
            <w:pPr>
              <w:spacing w:line="0" w:lineRule="atLeast"/>
              <w:rPr>
                <w:lang w:val="sr-Cyrl-RS"/>
              </w:rPr>
            </w:pPr>
          </w:p>
        </w:tc>
        <w:tc>
          <w:tcPr>
            <w:tcW w:w="280" w:type="dxa"/>
            <w:tcBorders>
              <w:bottom w:val="single" w:color="D9D9D9" w:sz="8" w:space="0"/>
            </w:tcBorders>
            <w:shd w:val="clear" w:color="auto" w:fill="D9D9D9"/>
            <w:vAlign w:val="bottom"/>
          </w:tcPr>
          <w:p>
            <w:pPr>
              <w:spacing w:line="0" w:lineRule="atLeast"/>
              <w:rPr>
                <w:lang w:val="sr-Cyrl-RS"/>
              </w:rPr>
            </w:pPr>
          </w:p>
        </w:tc>
        <w:tc>
          <w:tcPr>
            <w:tcW w:w="2560" w:type="dxa"/>
            <w:tcBorders>
              <w:bottom w:val="single" w:color="D9D9D9" w:sz="8" w:space="0"/>
            </w:tcBorders>
            <w:shd w:val="clear" w:color="auto" w:fill="D9D9D9"/>
            <w:vAlign w:val="bottom"/>
          </w:tcPr>
          <w:p>
            <w:pPr>
              <w:spacing w:line="0" w:lineRule="atLeast"/>
              <w:rPr>
                <w:lang w:val="sr-Cyrl-RS"/>
              </w:rPr>
            </w:pPr>
          </w:p>
        </w:tc>
        <w:tc>
          <w:tcPr>
            <w:tcW w:w="120" w:type="dxa"/>
            <w:tcBorders>
              <w:bottom w:val="single" w:color="D9D9D9" w:sz="8" w:space="0"/>
              <w:right w:val="single" w:color="auto" w:sz="8" w:space="0"/>
            </w:tcBorders>
            <w:shd w:val="clear" w:color="auto" w:fill="D9D9D9"/>
            <w:vAlign w:val="bottom"/>
          </w:tcPr>
          <w:p>
            <w:pPr>
              <w:spacing w:line="0" w:lineRule="atLeast"/>
              <w:rPr>
                <w:lang w:val="sr-Cyrl-RS"/>
              </w:rPr>
            </w:pPr>
          </w:p>
        </w:tc>
        <w:tc>
          <w:tcPr>
            <w:tcW w:w="100" w:type="dxa"/>
            <w:tcBorders>
              <w:bottom w:val="single" w:color="D9D9D9" w:sz="8" w:space="0"/>
            </w:tcBorders>
            <w:shd w:val="clear" w:color="auto" w:fill="D9D9D9"/>
            <w:vAlign w:val="bottom"/>
          </w:tcPr>
          <w:p>
            <w:pPr>
              <w:spacing w:line="0" w:lineRule="atLeast"/>
              <w:rPr>
                <w:lang w:val="sr-Cyrl-RS"/>
              </w:rPr>
            </w:pPr>
          </w:p>
        </w:tc>
        <w:tc>
          <w:tcPr>
            <w:tcW w:w="2760" w:type="dxa"/>
            <w:tcBorders>
              <w:bottom w:val="single" w:color="D9D9D9" w:sz="8" w:space="0"/>
            </w:tcBorders>
            <w:shd w:val="clear" w:color="auto" w:fill="D9D9D9"/>
            <w:vAlign w:val="bottom"/>
          </w:tcPr>
          <w:p>
            <w:pPr>
              <w:spacing w:line="0" w:lineRule="atLeast"/>
              <w:rPr>
                <w:rFonts w:ascii="Arial" w:hAnsi="Arial" w:eastAsia="Arial"/>
                <w:lang w:val="sr-Cyrl-RS"/>
              </w:rPr>
            </w:pPr>
            <w:r>
              <w:rPr>
                <w:rFonts w:ascii="Arial" w:hAnsi="Arial" w:eastAsia="Arial"/>
                <w:lang w:val="sr-Cyrl-RS"/>
              </w:rPr>
              <w:t>Оцена утицаја: 4</w:t>
            </w:r>
          </w:p>
        </w:tc>
        <w:tc>
          <w:tcPr>
            <w:tcW w:w="120" w:type="dxa"/>
            <w:tcBorders>
              <w:bottom w:val="single" w:color="D9D9D9" w:sz="8" w:space="0"/>
              <w:right w:val="single" w:color="auto" w:sz="8" w:space="0"/>
            </w:tcBorders>
            <w:shd w:val="clear" w:color="auto" w:fill="D9D9D9"/>
            <w:vAlign w:val="bottom"/>
          </w:tcPr>
          <w:p>
            <w:pPr>
              <w:spacing w:line="0" w:lineRule="atLeast"/>
              <w:rPr>
                <w:lang w:val="sr-Cyrl-RS"/>
              </w:rPr>
            </w:pPr>
          </w:p>
        </w:tc>
        <w:tc>
          <w:tcPr>
            <w:tcW w:w="100" w:type="dxa"/>
            <w:tcBorders>
              <w:bottom w:val="single" w:color="D9D9D9" w:sz="8" w:space="0"/>
            </w:tcBorders>
            <w:shd w:val="clear" w:color="auto" w:fill="D9D9D9"/>
            <w:vAlign w:val="bottom"/>
          </w:tcPr>
          <w:p>
            <w:pPr>
              <w:spacing w:line="0" w:lineRule="atLeast"/>
              <w:rPr>
                <w:lang w:val="sr-Cyrl-RS"/>
              </w:rPr>
            </w:pPr>
          </w:p>
        </w:tc>
        <w:tc>
          <w:tcPr>
            <w:tcW w:w="3100" w:type="dxa"/>
            <w:tcBorders>
              <w:bottom w:val="single" w:color="D9D9D9" w:sz="8" w:space="0"/>
            </w:tcBorders>
            <w:shd w:val="clear" w:color="auto" w:fill="D9D9D9"/>
            <w:vAlign w:val="bottom"/>
          </w:tcPr>
          <w:p>
            <w:pPr>
              <w:spacing w:line="0" w:lineRule="atLeast"/>
              <w:rPr>
                <w:lang w:val="sr-Cyrl-RS"/>
              </w:rPr>
            </w:pPr>
          </w:p>
        </w:tc>
        <w:tc>
          <w:tcPr>
            <w:tcW w:w="120" w:type="dxa"/>
            <w:tcBorders>
              <w:bottom w:val="single" w:color="D9D9D9" w:sz="8" w:space="0"/>
              <w:right w:val="single" w:color="auto" w:sz="8" w:space="0"/>
            </w:tcBorders>
            <w:shd w:val="clear" w:color="auto" w:fill="D9D9D9"/>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400" w:type="dxa"/>
            <w:gridSpan w:val="2"/>
            <w:tcBorders>
              <w:top w:val="single" w:color="auto" w:sz="8" w:space="0"/>
              <w:left w:val="single" w:color="auto" w:sz="8" w:space="0"/>
            </w:tcBorders>
            <w:shd w:val="clear" w:color="auto" w:fill="auto"/>
            <w:vAlign w:val="bottom"/>
          </w:tcPr>
          <w:p>
            <w:pPr>
              <w:spacing w:line="274" w:lineRule="exact"/>
              <w:rPr>
                <w:rFonts w:ascii="Arial" w:hAnsi="Arial" w:eastAsia="Arial"/>
                <w:b/>
                <w:lang w:val="sr-Cyrl-RS"/>
              </w:rPr>
            </w:pPr>
            <w:r>
              <w:rPr>
                <w:rFonts w:ascii="Arial" w:hAnsi="Arial" w:eastAsia="Arial"/>
                <w:b/>
                <w:lang w:val="sr-Cyrl-RS"/>
              </w:rPr>
              <w:t>4.</w:t>
            </w:r>
          </w:p>
        </w:tc>
        <w:tc>
          <w:tcPr>
            <w:tcW w:w="2680" w:type="dxa"/>
            <w:gridSpan w:val="2"/>
            <w:tcBorders>
              <w:top w:val="single" w:color="auto" w:sz="8" w:space="0"/>
              <w:right w:val="single" w:color="auto" w:sz="8" w:space="0"/>
            </w:tcBorders>
            <w:shd w:val="clear" w:color="auto" w:fill="auto"/>
            <w:vAlign w:val="bottom"/>
          </w:tcPr>
          <w:p>
            <w:pPr>
              <w:spacing w:line="274" w:lineRule="exact"/>
              <w:rPr>
                <w:rFonts w:ascii="Arial" w:hAnsi="Arial" w:eastAsia="Arial"/>
                <w:b/>
                <w:lang w:val="sr-Cyrl-RS"/>
              </w:rPr>
            </w:pPr>
            <w:r>
              <w:rPr>
                <w:rFonts w:ascii="Arial" w:hAnsi="Arial" w:eastAsia="Arial"/>
                <w:b/>
                <w:lang w:val="sr-Cyrl-RS"/>
              </w:rPr>
              <w:t>Министарство</w:t>
            </w:r>
          </w:p>
        </w:tc>
        <w:tc>
          <w:tcPr>
            <w:tcW w:w="100" w:type="dxa"/>
            <w:tcBorders>
              <w:top w:val="single" w:color="auto" w:sz="8" w:space="0"/>
            </w:tcBorders>
            <w:shd w:val="clear" w:color="auto" w:fill="auto"/>
            <w:vAlign w:val="bottom"/>
          </w:tcPr>
          <w:p>
            <w:pPr>
              <w:spacing w:line="0" w:lineRule="atLeast"/>
              <w:rPr>
                <w:sz w:val="23"/>
                <w:lang w:val="sr-Cyrl-RS"/>
              </w:rPr>
            </w:pPr>
          </w:p>
        </w:tc>
        <w:tc>
          <w:tcPr>
            <w:tcW w:w="2880" w:type="dxa"/>
            <w:gridSpan w:val="2"/>
            <w:tcBorders>
              <w:top w:val="single" w:color="auto" w:sz="8" w:space="0"/>
              <w:right w:val="single" w:color="auto" w:sz="8" w:space="0"/>
            </w:tcBorders>
            <w:shd w:val="clear" w:color="auto" w:fill="auto"/>
            <w:vAlign w:val="bottom"/>
          </w:tcPr>
          <w:p>
            <w:pPr>
              <w:spacing w:line="274" w:lineRule="exact"/>
              <w:rPr>
                <w:rFonts w:ascii="Arial" w:hAnsi="Arial" w:eastAsia="Arial"/>
                <w:lang w:val="sr-Cyrl-RS"/>
              </w:rPr>
            </w:pPr>
            <w:r>
              <w:rPr>
                <w:rFonts w:ascii="Arial" w:hAnsi="Arial" w:eastAsia="Arial"/>
                <w:lang w:val="sr-Cyrl-RS"/>
              </w:rPr>
              <w:t>Стратегију и политику</w:t>
            </w:r>
          </w:p>
        </w:tc>
        <w:tc>
          <w:tcPr>
            <w:tcW w:w="100" w:type="dxa"/>
            <w:tcBorders>
              <w:top w:val="single" w:color="auto" w:sz="8" w:space="0"/>
            </w:tcBorders>
            <w:shd w:val="clear" w:color="auto" w:fill="auto"/>
            <w:vAlign w:val="bottom"/>
          </w:tcPr>
          <w:p>
            <w:pPr>
              <w:spacing w:line="0" w:lineRule="atLeast"/>
              <w:rPr>
                <w:sz w:val="23"/>
                <w:lang w:val="sr-Cyrl-RS"/>
              </w:rPr>
            </w:pPr>
          </w:p>
        </w:tc>
        <w:tc>
          <w:tcPr>
            <w:tcW w:w="3200" w:type="dxa"/>
            <w:gridSpan w:val="2"/>
            <w:tcBorders>
              <w:top w:val="single" w:color="auto" w:sz="8" w:space="0"/>
              <w:right w:val="single" w:color="auto" w:sz="8" w:space="0"/>
            </w:tcBorders>
            <w:shd w:val="clear" w:color="auto" w:fill="auto"/>
            <w:vAlign w:val="bottom"/>
          </w:tcPr>
          <w:p>
            <w:pPr>
              <w:spacing w:line="274" w:lineRule="exact"/>
              <w:rPr>
                <w:rFonts w:ascii="Arial" w:hAnsi="Arial" w:eastAsia="Arial"/>
                <w:lang w:val="sr-Cyrl-RS"/>
              </w:rPr>
            </w:pPr>
            <w:r>
              <w:rPr>
                <w:rFonts w:ascii="Arial" w:hAnsi="Arial" w:eastAsia="Arial"/>
                <w:lang w:val="sr-Cyrl-RS"/>
              </w:rPr>
              <w:t>Пружање мера подршке и</w:t>
            </w: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68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пољопривреде,</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развоја пољопривреде</w:t>
            </w:r>
          </w:p>
        </w:tc>
        <w:tc>
          <w:tcPr>
            <w:tcW w:w="100" w:type="dxa"/>
            <w:shd w:val="clear" w:color="auto" w:fill="auto"/>
            <w:vAlign w:val="bottom"/>
          </w:tcPr>
          <w:p>
            <w:pPr>
              <w:spacing w:line="0" w:lineRule="atLeast"/>
              <w:rPr>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друге послове у складу са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68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шумарства и водопривреде</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 прехрамбене</w:t>
            </w:r>
          </w:p>
        </w:tc>
        <w:tc>
          <w:tcPr>
            <w:tcW w:w="100" w:type="dxa"/>
            <w:shd w:val="clear" w:color="auto" w:fill="auto"/>
            <w:vAlign w:val="bottom"/>
          </w:tcPr>
          <w:p>
            <w:pPr>
              <w:spacing w:line="0" w:lineRule="atLeast"/>
              <w:rPr>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надлежностима</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680" w:type="dxa"/>
            <w:gridSpan w:val="2"/>
            <w:tcBorders>
              <w:right w:val="single" w:color="auto" w:sz="8" w:space="0"/>
            </w:tcBorders>
            <w:shd w:val="clear" w:color="auto" w:fill="auto"/>
            <w:vAlign w:val="bottom"/>
          </w:tcPr>
          <w:p>
            <w:pPr>
              <w:spacing w:line="0" w:lineRule="atLeast"/>
              <w:rPr>
                <w:rFonts w:ascii="Arial" w:hAnsi="Arial" w:eastAsia="Arial"/>
                <w:b/>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индустрије; анализу</w:t>
            </w:r>
          </w:p>
        </w:tc>
        <w:tc>
          <w:tcPr>
            <w:tcW w:w="100" w:type="dxa"/>
            <w:shd w:val="clear" w:color="auto" w:fill="auto"/>
            <w:vAlign w:val="bottom"/>
          </w:tcPr>
          <w:p>
            <w:pPr>
              <w:spacing w:line="0" w:lineRule="atLeast"/>
              <w:rPr>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министарства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производње и тржишта</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пољопривредних</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производа; мере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подстицаја за</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унапређење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пољопривредне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производње, рурални</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развој и друго</w:t>
            </w:r>
          </w:p>
        </w:tc>
        <w:tc>
          <w:tcPr>
            <w:tcW w:w="100" w:type="dxa"/>
            <w:shd w:val="clear" w:color="auto" w:fill="auto"/>
            <w:vAlign w:val="bottom"/>
          </w:tcPr>
          <w:p>
            <w:pPr>
              <w:spacing w:line="0" w:lineRule="atLeast"/>
              <w:rPr>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0" w:type="dxa"/>
            <w:shd w:val="clear" w:color="auto" w:fill="auto"/>
            <w:vAlign w:val="bottom"/>
          </w:tcPr>
          <w:p>
            <w:pPr>
              <w:spacing w:line="0" w:lineRule="atLeast"/>
              <w:rPr>
                <w:lang w:val="sr-Cyrl-RS"/>
              </w:rPr>
            </w:pPr>
          </w:p>
        </w:tc>
        <w:tc>
          <w:tcPr>
            <w:tcW w:w="25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4</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80" w:type="dxa"/>
            <w:tcBorders>
              <w:bottom w:val="single" w:color="auto" w:sz="8" w:space="0"/>
            </w:tcBorders>
            <w:shd w:val="clear" w:color="auto" w:fill="auto"/>
            <w:vAlign w:val="bottom"/>
          </w:tcPr>
          <w:p>
            <w:pPr>
              <w:spacing w:line="0" w:lineRule="atLeast"/>
              <w:rPr>
                <w:sz w:val="3"/>
                <w:lang w:val="sr-Cyrl-RS"/>
              </w:rPr>
            </w:pPr>
          </w:p>
        </w:tc>
        <w:tc>
          <w:tcPr>
            <w:tcW w:w="2560" w:type="dxa"/>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2880" w:type="dxa"/>
            <w:gridSpan w:val="2"/>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3200" w:type="dxa"/>
            <w:gridSpan w:val="2"/>
            <w:tcBorders>
              <w:bottom w:val="single" w:color="auto" w:sz="8" w:space="0"/>
              <w:right w:val="single" w:color="auto" w:sz="8" w:space="0"/>
            </w:tcBorders>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trHeight w:val="275" w:hRule="atLeast"/>
        </w:trPr>
        <w:tc>
          <w:tcPr>
            <w:tcW w:w="120" w:type="dxa"/>
            <w:tcBorders>
              <w:left w:val="single" w:color="auto" w:sz="8" w:space="0"/>
            </w:tcBorders>
            <w:shd w:val="clear" w:color="auto" w:fill="DDDDDD"/>
            <w:vAlign w:val="bottom"/>
          </w:tcPr>
          <w:p>
            <w:pPr>
              <w:spacing w:line="0" w:lineRule="atLeast"/>
              <w:rPr>
                <w:sz w:val="23"/>
                <w:lang w:val="sr-Cyrl-RS"/>
              </w:rPr>
            </w:pPr>
          </w:p>
        </w:tc>
        <w:tc>
          <w:tcPr>
            <w:tcW w:w="28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5.</w:t>
            </w:r>
          </w:p>
        </w:tc>
        <w:tc>
          <w:tcPr>
            <w:tcW w:w="256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Завод за заштиту</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100" w:type="dxa"/>
            <w:shd w:val="clear" w:color="auto" w:fill="DDDDDD"/>
            <w:vAlign w:val="bottom"/>
          </w:tcPr>
          <w:p>
            <w:pPr>
              <w:spacing w:line="0" w:lineRule="atLeast"/>
              <w:rPr>
                <w:sz w:val="23"/>
                <w:lang w:val="sr-Cyrl-RS"/>
              </w:rPr>
            </w:pPr>
          </w:p>
        </w:tc>
        <w:tc>
          <w:tcPr>
            <w:tcW w:w="2760" w:type="dxa"/>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Водећа улога у заштити</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100" w:type="dxa"/>
            <w:shd w:val="clear" w:color="auto" w:fill="DDDDDD"/>
            <w:vAlign w:val="bottom"/>
          </w:tcPr>
          <w:p>
            <w:pPr>
              <w:spacing w:line="0" w:lineRule="atLeast"/>
              <w:rPr>
                <w:sz w:val="23"/>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Пружање подршке у</w:t>
            </w:r>
          </w:p>
        </w:tc>
        <w:tc>
          <w:tcPr>
            <w:tcW w:w="120" w:type="dxa"/>
            <w:tcBorders>
              <w:right w:val="single" w:color="auto" w:sz="8" w:space="0"/>
            </w:tcBorders>
            <w:shd w:val="clear" w:color="auto" w:fill="DDDDDD"/>
            <w:vAlign w:val="bottom"/>
          </w:tcPr>
          <w:p>
            <w:pPr>
              <w:spacing w:line="0" w:lineRule="atLeast"/>
              <w:rPr>
                <w:sz w:val="2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0" w:type="dxa"/>
            <w:shd w:val="clear" w:color="auto" w:fill="DDDDDD"/>
            <w:vAlign w:val="bottom"/>
          </w:tcPr>
          <w:p>
            <w:pPr>
              <w:spacing w:line="0" w:lineRule="atLeast"/>
              <w:rPr>
                <w:lang w:val="sr-Cyrl-RS"/>
              </w:rPr>
            </w:pPr>
          </w:p>
        </w:tc>
        <w:tc>
          <w:tcPr>
            <w:tcW w:w="256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природе Србије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и очувању природе, али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очувању Природног</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Делатност из домена: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и едукацији 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резервата Сува планина,</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промоцији природних</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подизању свести о значају</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Рада на очувању</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вредности.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овог заштићеног подручја,</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биодиверзитета 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промоција заштићеног</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геодиверзитета као</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подручја.</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полазне основе за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5</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очување и унапређење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1</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1"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угрожених и ретких</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gridSpan w:val="2"/>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врста и објеката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геонаслеђа.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Праћење стања и оцена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угрожености објеката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6"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геонаслеђа, дивљих</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врста и њихових</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DDDDD" w:sz="8" w:space="0"/>
            </w:tcBorders>
            <w:shd w:val="clear" w:color="auto" w:fill="DDDDDD"/>
            <w:vAlign w:val="bottom"/>
          </w:tcPr>
          <w:p>
            <w:pPr>
              <w:spacing w:line="0" w:lineRule="atLeast"/>
              <w:rPr>
                <w:lang w:val="sr-Cyrl-RS"/>
              </w:rPr>
            </w:pPr>
          </w:p>
        </w:tc>
        <w:tc>
          <w:tcPr>
            <w:tcW w:w="2840" w:type="dxa"/>
            <w:gridSpan w:val="2"/>
            <w:tcBorders>
              <w:bottom w:val="single" w:color="DDDDDD"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станишта, станишних</w:t>
            </w: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276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310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95" w:hRule="atLeast"/>
        </w:trPr>
        <w:tc>
          <w:tcPr>
            <w:tcW w:w="120" w:type="dxa"/>
            <w:tcBorders>
              <w:top w:val="single" w:color="auto" w:sz="8" w:space="0"/>
            </w:tcBorders>
            <w:shd w:val="clear" w:color="auto" w:fill="auto"/>
            <w:vAlign w:val="bottom"/>
          </w:tcPr>
          <w:p>
            <w:pPr>
              <w:spacing w:line="0" w:lineRule="atLeast"/>
              <w:rPr>
                <w:lang w:val="sr-Cyrl-RS"/>
              </w:rPr>
            </w:pPr>
          </w:p>
        </w:tc>
        <w:tc>
          <w:tcPr>
            <w:tcW w:w="280" w:type="dxa"/>
            <w:tcBorders>
              <w:top w:val="single" w:color="auto" w:sz="8" w:space="0"/>
            </w:tcBorders>
            <w:shd w:val="clear" w:color="auto" w:fill="auto"/>
            <w:vAlign w:val="bottom"/>
          </w:tcPr>
          <w:p>
            <w:pPr>
              <w:spacing w:line="0" w:lineRule="atLeast"/>
              <w:rPr>
                <w:lang w:val="sr-Cyrl-RS"/>
              </w:rPr>
            </w:pPr>
          </w:p>
        </w:tc>
        <w:tc>
          <w:tcPr>
            <w:tcW w:w="2560" w:type="dxa"/>
            <w:tcBorders>
              <w:top w:val="single" w:color="auto" w:sz="8" w:space="0"/>
            </w:tcBorders>
            <w:shd w:val="clear" w:color="auto" w:fill="auto"/>
            <w:vAlign w:val="bottom"/>
          </w:tcPr>
          <w:p>
            <w:pPr>
              <w:spacing w:line="0" w:lineRule="atLeast"/>
              <w:rPr>
                <w:lang w:val="sr-Cyrl-RS"/>
              </w:rPr>
            </w:pPr>
          </w:p>
        </w:tc>
        <w:tc>
          <w:tcPr>
            <w:tcW w:w="120" w:type="dxa"/>
            <w:tcBorders>
              <w:top w:val="single" w:color="auto" w:sz="8" w:space="0"/>
            </w:tcBorders>
            <w:shd w:val="clear" w:color="auto" w:fill="auto"/>
            <w:vAlign w:val="bottom"/>
          </w:tcPr>
          <w:p>
            <w:pPr>
              <w:spacing w:line="0" w:lineRule="atLeast"/>
              <w:rPr>
                <w:lang w:val="sr-Cyrl-RS"/>
              </w:rPr>
            </w:pPr>
          </w:p>
        </w:tc>
        <w:tc>
          <w:tcPr>
            <w:tcW w:w="100" w:type="dxa"/>
            <w:tcBorders>
              <w:top w:val="single" w:color="auto" w:sz="8" w:space="0"/>
            </w:tcBorders>
            <w:shd w:val="clear" w:color="auto" w:fill="auto"/>
            <w:vAlign w:val="bottom"/>
          </w:tcPr>
          <w:p>
            <w:pPr>
              <w:spacing w:line="0" w:lineRule="atLeast"/>
              <w:rPr>
                <w:lang w:val="sr-Cyrl-RS"/>
              </w:rPr>
            </w:pPr>
          </w:p>
        </w:tc>
        <w:tc>
          <w:tcPr>
            <w:tcW w:w="2760" w:type="dxa"/>
            <w:tcBorders>
              <w:top w:val="single" w:color="auto" w:sz="8" w:space="0"/>
            </w:tcBorders>
            <w:shd w:val="clear" w:color="auto" w:fill="auto"/>
            <w:vAlign w:val="bottom"/>
          </w:tcPr>
          <w:p>
            <w:pPr>
              <w:spacing w:line="0" w:lineRule="atLeast"/>
              <w:rPr>
                <w:lang w:val="sr-Cyrl-RS"/>
              </w:rPr>
            </w:pPr>
          </w:p>
        </w:tc>
        <w:tc>
          <w:tcPr>
            <w:tcW w:w="120" w:type="dxa"/>
            <w:tcBorders>
              <w:top w:val="single" w:color="auto" w:sz="8" w:space="0"/>
            </w:tcBorders>
            <w:shd w:val="clear" w:color="auto" w:fill="auto"/>
            <w:vAlign w:val="bottom"/>
          </w:tcPr>
          <w:p>
            <w:pPr>
              <w:spacing w:line="0" w:lineRule="atLeast"/>
              <w:rPr>
                <w:lang w:val="sr-Cyrl-RS"/>
              </w:rPr>
            </w:pPr>
          </w:p>
        </w:tc>
        <w:tc>
          <w:tcPr>
            <w:tcW w:w="3200" w:type="dxa"/>
            <w:gridSpan w:val="2"/>
            <w:tcBorders>
              <w:top w:val="single" w:color="auto" w:sz="8" w:space="0"/>
            </w:tcBorders>
            <w:shd w:val="clear" w:color="auto" w:fill="auto"/>
            <w:vAlign w:val="bottom"/>
          </w:tcPr>
          <w:p>
            <w:pPr>
              <w:spacing w:line="0" w:lineRule="atLeast"/>
              <w:ind w:right="120"/>
              <w:jc w:val="right"/>
              <w:rPr>
                <w:lang w:val="sr-Cyrl-RS"/>
              </w:rPr>
            </w:pPr>
          </w:p>
        </w:tc>
        <w:tc>
          <w:tcPr>
            <w:tcW w:w="120" w:type="dxa"/>
            <w:tcBorders>
              <w:top w:val="single" w:color="auto" w:sz="8" w:space="0"/>
            </w:tcBorders>
            <w:shd w:val="clear" w:color="auto" w:fill="auto"/>
            <w:vAlign w:val="bottom"/>
          </w:tcPr>
          <w:p>
            <w:pPr>
              <w:spacing w:line="0" w:lineRule="atLeast"/>
              <w:rPr>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00" w:lineRule="exact"/>
        <w:rPr>
          <w:lang w:val="sr-Cyrl-RS"/>
        </w:rPr>
      </w:pPr>
      <w:bookmarkStart w:id="72" w:name="page33"/>
      <w:bookmarkEnd w:id="72"/>
    </w:p>
    <w:p>
      <w:pPr>
        <w:spacing w:line="283" w:lineRule="exact"/>
        <w:rPr>
          <w:lang w:val="sr-Cyrl-RS"/>
        </w:rPr>
      </w:pPr>
    </w:p>
    <w:tbl>
      <w:tblPr>
        <w:tblStyle w:val="6"/>
        <w:tblW w:w="0" w:type="auto"/>
        <w:tblInd w:w="10" w:type="dxa"/>
        <w:tblLayout w:type="fixed"/>
        <w:tblCellMar>
          <w:top w:w="0" w:type="dxa"/>
          <w:left w:w="0" w:type="dxa"/>
          <w:bottom w:w="0" w:type="dxa"/>
          <w:right w:w="0" w:type="dxa"/>
        </w:tblCellMar>
      </w:tblPr>
      <w:tblGrid>
        <w:gridCol w:w="120"/>
        <w:gridCol w:w="2960"/>
        <w:gridCol w:w="2980"/>
        <w:gridCol w:w="3320"/>
      </w:tblGrid>
      <w:tr>
        <w:tblPrEx>
          <w:tblCellMar>
            <w:top w:w="0" w:type="dxa"/>
            <w:left w:w="0" w:type="dxa"/>
            <w:bottom w:w="0" w:type="dxa"/>
            <w:right w:w="0" w:type="dxa"/>
          </w:tblCellMar>
        </w:tblPrEx>
        <w:trPr>
          <w:trHeight w:val="295" w:hRule="atLeast"/>
        </w:trPr>
        <w:tc>
          <w:tcPr>
            <w:tcW w:w="120" w:type="dxa"/>
            <w:tcBorders>
              <w:top w:val="single" w:color="auto" w:sz="8" w:space="0"/>
              <w:left w:val="single" w:color="auto" w:sz="8" w:space="0"/>
            </w:tcBorders>
            <w:shd w:val="clear" w:color="auto" w:fill="DDDDDD"/>
            <w:vAlign w:val="bottom"/>
          </w:tcPr>
          <w:p>
            <w:pPr>
              <w:spacing w:line="0" w:lineRule="atLeast"/>
              <w:rPr>
                <w:lang w:val="sr-Cyrl-RS"/>
              </w:rPr>
            </w:pPr>
          </w:p>
        </w:tc>
        <w:tc>
          <w:tcPr>
            <w:tcW w:w="2960" w:type="dxa"/>
            <w:tcBorders>
              <w:top w:val="single" w:color="auto"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типова, екосистема,</w:t>
            </w:r>
          </w:p>
        </w:tc>
        <w:tc>
          <w:tcPr>
            <w:tcW w:w="2980" w:type="dxa"/>
            <w:tcBorders>
              <w:top w:val="single" w:color="auto" w:sz="8" w:space="0"/>
              <w:right w:val="single" w:color="auto" w:sz="8" w:space="0"/>
            </w:tcBorders>
            <w:shd w:val="clear" w:color="auto" w:fill="DDDDDD"/>
            <w:vAlign w:val="bottom"/>
          </w:tcPr>
          <w:p>
            <w:pPr>
              <w:spacing w:line="0" w:lineRule="atLeast"/>
              <w:rPr>
                <w:lang w:val="sr-Cyrl-RS"/>
              </w:rPr>
            </w:pPr>
          </w:p>
        </w:tc>
        <w:tc>
          <w:tcPr>
            <w:tcW w:w="3320" w:type="dxa"/>
            <w:tcBorders>
              <w:top w:val="single" w:color="auto"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еколошки значајних</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подручја и еколошких</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коридора еколошке</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мреже Републике Србије</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и заштићених подручја.</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Издавање услова</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заштите природе и мера</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заштите природе и</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6"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природних вредности у</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поступку израде</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пројектне документације,</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просторних и</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урбанистичких планова,</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основа (шумских,</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ловних, риболовних,</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водопривредних и др.),</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програма и стратегија и</w:t>
            </w:r>
          </w:p>
        </w:tc>
        <w:tc>
          <w:tcPr>
            <w:tcW w:w="2980" w:type="dxa"/>
            <w:tcBorders>
              <w:right w:val="single" w:color="auto" w:sz="8" w:space="0"/>
            </w:tcBorders>
            <w:shd w:val="clear" w:color="auto" w:fill="DDDDDD"/>
            <w:vAlign w:val="bottom"/>
          </w:tcPr>
          <w:p>
            <w:pPr>
              <w:spacing w:line="0" w:lineRule="atLeast"/>
              <w:rPr>
                <w:lang w:val="sr-Cyrl-RS"/>
              </w:rPr>
            </w:pPr>
          </w:p>
        </w:tc>
        <w:tc>
          <w:tcPr>
            <w:tcW w:w="33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DDDDD" w:sz="8" w:space="0"/>
            </w:tcBorders>
            <w:shd w:val="clear" w:color="auto" w:fill="DDDDDD"/>
            <w:vAlign w:val="bottom"/>
          </w:tcPr>
          <w:p>
            <w:pPr>
              <w:spacing w:line="0" w:lineRule="atLeast"/>
              <w:rPr>
                <w:lang w:val="sr-Cyrl-RS"/>
              </w:rPr>
            </w:pPr>
          </w:p>
        </w:tc>
        <w:tc>
          <w:tcPr>
            <w:tcW w:w="2960" w:type="dxa"/>
            <w:tcBorders>
              <w:bottom w:val="single" w:color="DDDDDD"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друго.</w:t>
            </w:r>
          </w:p>
        </w:tc>
        <w:tc>
          <w:tcPr>
            <w:tcW w:w="298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332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120" w:type="dxa"/>
            <w:tcBorders>
              <w:top w:val="single" w:color="auto" w:sz="8" w:space="0"/>
              <w:left w:val="single" w:color="auto" w:sz="8" w:space="0"/>
            </w:tcBorders>
            <w:shd w:val="clear" w:color="auto" w:fill="auto"/>
            <w:vAlign w:val="bottom"/>
          </w:tcPr>
          <w:p>
            <w:pPr>
              <w:spacing w:line="0" w:lineRule="atLeast"/>
              <w:rPr>
                <w:sz w:val="23"/>
                <w:lang w:val="sr-Cyrl-RS"/>
              </w:rPr>
            </w:pPr>
          </w:p>
        </w:tc>
        <w:tc>
          <w:tcPr>
            <w:tcW w:w="2960" w:type="dxa"/>
            <w:tcBorders>
              <w:top w:val="single" w:color="auto" w:sz="8" w:space="0"/>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6.  Републички завод</w:t>
            </w:r>
          </w:p>
        </w:tc>
        <w:tc>
          <w:tcPr>
            <w:tcW w:w="298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Водећа улога у заштити</w:t>
            </w:r>
          </w:p>
        </w:tc>
        <w:tc>
          <w:tcPr>
            <w:tcW w:w="332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На подручју општине нема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за заштиту</w:t>
            </w: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културног добра</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заштићених објеката од</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споменика културе</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изузетног значаја, самим</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Делатност:</w:t>
            </w:r>
          </w:p>
        </w:tc>
        <w:tc>
          <w:tcPr>
            <w:tcW w:w="29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3</w:t>
            </w:r>
          </w:p>
        </w:tc>
        <w:tc>
          <w:tcPr>
            <w:tcW w:w="33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тим интересовање не</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постоји. Постоје</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Остваривање увида у</w:t>
            </w: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Заштита , чување и</w:t>
            </w: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локалитети који нису у</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стање непокретних</w:t>
            </w:r>
          </w:p>
        </w:tc>
        <w:tc>
          <w:tcPr>
            <w:tcW w:w="2980" w:type="dxa"/>
            <w:vMerge w:val="continue"/>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1"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одржавање културних</w:t>
            </w: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довољној мери истражени,</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културних добара од</w:t>
            </w:r>
          </w:p>
        </w:tc>
        <w:tc>
          <w:tcPr>
            <w:tcW w:w="2980" w:type="dxa"/>
            <w:vMerge w:val="continue"/>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добара.</w:t>
            </w: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а предмети који су</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изузетног и културних</w:t>
            </w:r>
          </w:p>
        </w:tc>
        <w:tc>
          <w:tcPr>
            <w:tcW w:w="2980" w:type="dxa"/>
            <w:vMerge w:val="continue"/>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пронађени на тим</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добара од великог</w:t>
            </w: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5</w:t>
            </w: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локалитетима похрањени</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значаја и</w:t>
            </w:r>
          </w:p>
        </w:tc>
        <w:tc>
          <w:tcPr>
            <w:tcW w:w="2980" w:type="dxa"/>
            <w:vMerge w:val="continue"/>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су у музејима, пре свих у</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предузимање мера у</w:t>
            </w: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музеј у Нишу.</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вези са њиховом</w:t>
            </w: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заштитом и</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0</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коришћењем;</w:t>
            </w: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2980" w:type="dxa"/>
            <w:tcBorders>
              <w:right w:val="single" w:color="auto" w:sz="8" w:space="0"/>
            </w:tcBorders>
            <w:shd w:val="clear" w:color="auto" w:fill="auto"/>
            <w:vAlign w:val="bottom"/>
          </w:tcPr>
          <w:p>
            <w:pPr>
              <w:spacing w:line="0" w:lineRule="atLeast"/>
              <w:rPr>
                <w:sz w:val="13"/>
                <w:lang w:val="sr-Cyrl-RS"/>
              </w:rPr>
            </w:pPr>
          </w:p>
        </w:tc>
        <w:tc>
          <w:tcPr>
            <w:tcW w:w="33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пружање стручне</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помоћи и</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унапређивање рада</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на заштити културних</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добара,</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старање о заштити</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културних добара од</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изузетног значаја и</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друго.</w:t>
            </w:r>
          </w:p>
        </w:tc>
        <w:tc>
          <w:tcPr>
            <w:tcW w:w="2980" w:type="dxa"/>
            <w:tcBorders>
              <w:right w:val="single" w:color="auto" w:sz="8" w:space="0"/>
            </w:tcBorders>
            <w:shd w:val="clear" w:color="auto" w:fill="auto"/>
            <w:vAlign w:val="bottom"/>
          </w:tcPr>
          <w:p>
            <w:pPr>
              <w:spacing w:line="0" w:lineRule="atLeast"/>
              <w:rPr>
                <w:lang w:val="sr-Cyrl-RS"/>
              </w:rPr>
            </w:pPr>
          </w:p>
        </w:tc>
        <w:tc>
          <w:tcPr>
            <w:tcW w:w="33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96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298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3320" w:type="dxa"/>
            <w:tcBorders>
              <w:bottom w:val="single" w:color="auto" w:sz="8" w:space="0"/>
              <w:right w:val="single" w:color="auto" w:sz="8" w:space="0"/>
            </w:tcBorders>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trHeight w:val="730" w:hRule="atLeast"/>
        </w:trPr>
        <w:tc>
          <w:tcPr>
            <w:tcW w:w="120" w:type="dxa"/>
            <w:shd w:val="clear" w:color="auto" w:fill="auto"/>
            <w:vAlign w:val="bottom"/>
          </w:tcPr>
          <w:p>
            <w:pPr>
              <w:spacing w:line="0" w:lineRule="atLeast"/>
              <w:rPr>
                <w:lang w:val="sr-Cyrl-RS"/>
              </w:rPr>
            </w:pPr>
          </w:p>
        </w:tc>
        <w:tc>
          <w:tcPr>
            <w:tcW w:w="2960" w:type="dxa"/>
            <w:shd w:val="clear" w:color="auto" w:fill="auto"/>
            <w:vAlign w:val="bottom"/>
          </w:tcPr>
          <w:p>
            <w:pPr>
              <w:spacing w:line="0" w:lineRule="atLeast"/>
              <w:rPr>
                <w:lang w:val="sr-Cyrl-RS"/>
              </w:rPr>
            </w:pPr>
          </w:p>
        </w:tc>
        <w:tc>
          <w:tcPr>
            <w:tcW w:w="2980" w:type="dxa"/>
            <w:shd w:val="clear" w:color="auto" w:fill="auto"/>
            <w:vAlign w:val="bottom"/>
          </w:tcPr>
          <w:p>
            <w:pPr>
              <w:spacing w:line="0" w:lineRule="atLeast"/>
              <w:rPr>
                <w:lang w:val="sr-Cyrl-RS"/>
              </w:rPr>
            </w:pPr>
          </w:p>
        </w:tc>
        <w:tc>
          <w:tcPr>
            <w:tcW w:w="3320" w:type="dxa"/>
            <w:shd w:val="clear" w:color="auto" w:fill="auto"/>
            <w:vAlign w:val="bottom"/>
          </w:tcPr>
          <w:p>
            <w:pPr>
              <w:spacing w:line="0" w:lineRule="atLeast"/>
              <w:rPr>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00" w:lineRule="exact"/>
        <w:rPr>
          <w:lang w:val="sr-Cyrl-RS"/>
        </w:rPr>
      </w:pPr>
      <w:bookmarkStart w:id="73" w:name="page34"/>
      <w:bookmarkEnd w:id="73"/>
    </w:p>
    <w:p>
      <w:pPr>
        <w:spacing w:line="283" w:lineRule="exact"/>
        <w:rPr>
          <w:lang w:val="sr-Cyrl-RS"/>
        </w:rPr>
      </w:pPr>
    </w:p>
    <w:tbl>
      <w:tblPr>
        <w:tblStyle w:val="6"/>
        <w:tblW w:w="9380" w:type="dxa"/>
        <w:tblInd w:w="10" w:type="dxa"/>
        <w:tblLayout w:type="fixed"/>
        <w:tblCellMar>
          <w:top w:w="0" w:type="dxa"/>
          <w:left w:w="0" w:type="dxa"/>
          <w:bottom w:w="0" w:type="dxa"/>
          <w:right w:w="0" w:type="dxa"/>
        </w:tblCellMar>
      </w:tblPr>
      <w:tblGrid>
        <w:gridCol w:w="120"/>
        <w:gridCol w:w="2840"/>
        <w:gridCol w:w="120"/>
        <w:gridCol w:w="100"/>
        <w:gridCol w:w="2760"/>
        <w:gridCol w:w="120"/>
        <w:gridCol w:w="100"/>
        <w:gridCol w:w="3100"/>
        <w:gridCol w:w="120"/>
      </w:tblGrid>
      <w:tr>
        <w:tblPrEx>
          <w:tblCellMar>
            <w:top w:w="0" w:type="dxa"/>
            <w:left w:w="0" w:type="dxa"/>
            <w:bottom w:w="0" w:type="dxa"/>
            <w:right w:w="0" w:type="dxa"/>
          </w:tblCellMar>
        </w:tblPrEx>
        <w:trPr>
          <w:trHeight w:val="295" w:hRule="atLeast"/>
        </w:trPr>
        <w:tc>
          <w:tcPr>
            <w:tcW w:w="120" w:type="dxa"/>
            <w:tcBorders>
              <w:top w:val="single" w:color="auto" w:sz="8" w:space="0"/>
              <w:left w:val="single" w:color="auto" w:sz="8" w:space="0"/>
            </w:tcBorders>
            <w:shd w:val="clear" w:color="auto" w:fill="DDDDDD"/>
            <w:vAlign w:val="bottom"/>
          </w:tcPr>
          <w:p>
            <w:pPr>
              <w:spacing w:line="0" w:lineRule="atLeast"/>
              <w:rPr>
                <w:lang w:val="sr-Cyrl-RS"/>
              </w:rPr>
            </w:pPr>
          </w:p>
        </w:tc>
        <w:tc>
          <w:tcPr>
            <w:tcW w:w="2840" w:type="dxa"/>
            <w:tcBorders>
              <w:top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7.  Општина Гаџин Хан</w:t>
            </w:r>
          </w:p>
        </w:tc>
        <w:tc>
          <w:tcPr>
            <w:tcW w:w="120" w:type="dxa"/>
            <w:tcBorders>
              <w:top w:val="single" w:color="auto" w:sz="8" w:space="0"/>
              <w:right w:val="single" w:color="auto" w:sz="8" w:space="0"/>
            </w:tcBorders>
            <w:shd w:val="clear" w:color="auto" w:fill="DDDDDD"/>
            <w:vAlign w:val="bottom"/>
          </w:tcPr>
          <w:p>
            <w:pPr>
              <w:spacing w:line="0" w:lineRule="atLeast"/>
              <w:rPr>
                <w:lang w:val="sr-Cyrl-RS"/>
              </w:rPr>
            </w:pPr>
          </w:p>
        </w:tc>
        <w:tc>
          <w:tcPr>
            <w:tcW w:w="100" w:type="dxa"/>
            <w:tcBorders>
              <w:top w:val="single" w:color="auto" w:sz="8" w:space="0"/>
            </w:tcBorders>
            <w:shd w:val="clear" w:color="auto" w:fill="DDDDDD"/>
            <w:vAlign w:val="bottom"/>
          </w:tcPr>
          <w:p>
            <w:pPr>
              <w:spacing w:line="0" w:lineRule="atLeast"/>
              <w:rPr>
                <w:lang w:val="sr-Cyrl-RS"/>
              </w:rPr>
            </w:pPr>
          </w:p>
        </w:tc>
        <w:tc>
          <w:tcPr>
            <w:tcW w:w="2760" w:type="dxa"/>
            <w:tcBorders>
              <w:top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Утицај економског</w:t>
            </w:r>
          </w:p>
        </w:tc>
        <w:tc>
          <w:tcPr>
            <w:tcW w:w="120" w:type="dxa"/>
            <w:tcBorders>
              <w:top w:val="single" w:color="auto" w:sz="8" w:space="0"/>
              <w:right w:val="single" w:color="auto" w:sz="8" w:space="0"/>
            </w:tcBorders>
            <w:shd w:val="clear" w:color="auto" w:fill="DDDDDD"/>
            <w:vAlign w:val="bottom"/>
          </w:tcPr>
          <w:p>
            <w:pPr>
              <w:spacing w:line="0" w:lineRule="atLeast"/>
              <w:rPr>
                <w:lang w:val="sr-Cyrl-RS"/>
              </w:rPr>
            </w:pPr>
          </w:p>
        </w:tc>
        <w:tc>
          <w:tcPr>
            <w:tcW w:w="100" w:type="dxa"/>
            <w:tcBorders>
              <w:top w:val="single" w:color="auto" w:sz="8" w:space="0"/>
            </w:tcBorders>
            <w:shd w:val="clear" w:color="auto" w:fill="DDDDDD"/>
            <w:vAlign w:val="bottom"/>
          </w:tcPr>
          <w:p>
            <w:pPr>
              <w:spacing w:line="0" w:lineRule="atLeast"/>
              <w:rPr>
                <w:lang w:val="sr-Cyrl-RS"/>
              </w:rPr>
            </w:pPr>
          </w:p>
        </w:tc>
        <w:tc>
          <w:tcPr>
            <w:tcW w:w="3100" w:type="dxa"/>
            <w:tcBorders>
              <w:top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Законска регулативе,</w:t>
            </w:r>
          </w:p>
        </w:tc>
        <w:tc>
          <w:tcPr>
            <w:tcW w:w="120" w:type="dxa"/>
            <w:tcBorders>
              <w:top w:val="single" w:color="auto"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(Председник општине,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развоја дестинације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Финансијска подршка код</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(регије) на квалитет</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субвенција и других</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председник скупштине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живота становника.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давања, координација</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општине, чланови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Одрживо управљање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учесника у туристичкој</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општинског већа, као 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посетиоцима, утицај</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понуди и друго</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чланови општинских</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развоја туризма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служби )</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на заштиту</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2</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животне средине.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6"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Развој руралних</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подручја, валоризација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пољопривредних</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производа 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диверзификација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примене истих.</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Утицај се огледа у</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спровођењу политика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везаних за делатност.</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Пружање мера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подршке. Учешће у</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радним телима (градско веће за надлежно за туризам, надзорни и управни одбор туристичке организације, пројектни тимови за пројекте у туризму и слично).</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63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DDDDD" w:sz="8" w:space="0"/>
            </w:tcBorders>
            <w:shd w:val="clear" w:color="auto" w:fill="DDDDDD"/>
            <w:vAlign w:val="bottom"/>
          </w:tcPr>
          <w:p>
            <w:pPr>
              <w:spacing w:line="0" w:lineRule="atLeast"/>
              <w:rPr>
                <w:lang w:val="sr-Cyrl-RS"/>
              </w:rPr>
            </w:pPr>
          </w:p>
        </w:tc>
        <w:tc>
          <w:tcPr>
            <w:tcW w:w="284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2760" w:type="dxa"/>
            <w:tcBorders>
              <w:bottom w:val="single" w:color="DDDDDD"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5</w:t>
            </w: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310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120" w:type="dxa"/>
            <w:tcBorders>
              <w:top w:val="single" w:color="auto" w:sz="8" w:space="0"/>
              <w:left w:val="single" w:color="auto" w:sz="8" w:space="0"/>
            </w:tcBorders>
            <w:shd w:val="clear" w:color="auto" w:fill="auto"/>
            <w:vAlign w:val="bottom"/>
          </w:tcPr>
          <w:p>
            <w:pPr>
              <w:spacing w:line="0" w:lineRule="atLeast"/>
              <w:rPr>
                <w:sz w:val="23"/>
                <w:lang w:val="sr-Cyrl-RS"/>
              </w:rPr>
            </w:pPr>
          </w:p>
        </w:tc>
        <w:tc>
          <w:tcPr>
            <w:tcW w:w="2960" w:type="dxa"/>
            <w:gridSpan w:val="2"/>
            <w:tcBorders>
              <w:top w:val="single" w:color="auto" w:sz="8" w:space="0"/>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8.  Јавно предузеће</w:t>
            </w:r>
          </w:p>
        </w:tc>
        <w:tc>
          <w:tcPr>
            <w:tcW w:w="100" w:type="dxa"/>
            <w:tcBorders>
              <w:top w:val="single" w:color="auto" w:sz="8" w:space="0"/>
            </w:tcBorders>
            <w:shd w:val="clear" w:color="auto" w:fill="auto"/>
            <w:vAlign w:val="bottom"/>
          </w:tcPr>
          <w:p>
            <w:pPr>
              <w:spacing w:line="0" w:lineRule="atLeast"/>
              <w:rPr>
                <w:sz w:val="23"/>
                <w:lang w:val="sr-Cyrl-RS"/>
              </w:rPr>
            </w:pPr>
          </w:p>
        </w:tc>
        <w:tc>
          <w:tcPr>
            <w:tcW w:w="2880" w:type="dxa"/>
            <w:gridSpan w:val="2"/>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Одржавање путева,</w:t>
            </w:r>
          </w:p>
        </w:tc>
        <w:tc>
          <w:tcPr>
            <w:tcW w:w="100" w:type="dxa"/>
            <w:tcBorders>
              <w:top w:val="single" w:color="auto" w:sz="8" w:space="0"/>
            </w:tcBorders>
            <w:shd w:val="clear" w:color="auto" w:fill="auto"/>
            <w:vAlign w:val="bottom"/>
          </w:tcPr>
          <w:p>
            <w:pPr>
              <w:spacing w:line="0" w:lineRule="atLeast"/>
              <w:rPr>
                <w:sz w:val="23"/>
                <w:lang w:val="sr-Cyrl-RS"/>
              </w:rPr>
            </w:pPr>
          </w:p>
        </w:tc>
        <w:tc>
          <w:tcPr>
            <w:tcW w:w="3220" w:type="dxa"/>
            <w:gridSpan w:val="2"/>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Правовремено уклањање</w:t>
            </w: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Дирекција</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чишћење улица,</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отпада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Делатност чини:</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паркиралишта,</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 позитиван имиџ уређеног</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коловоза, тротоара,</w:t>
            </w:r>
          </w:p>
        </w:tc>
        <w:tc>
          <w:tcPr>
            <w:tcW w:w="100" w:type="dxa"/>
            <w:shd w:val="clear" w:color="auto" w:fill="auto"/>
            <w:vAlign w:val="bottom"/>
          </w:tcPr>
          <w:p>
            <w:pPr>
              <w:spacing w:line="0" w:lineRule="atLeast"/>
              <w:rPr>
                <w:sz w:val="13"/>
                <w:lang w:val="sr-Cyrl-RS"/>
              </w:rPr>
            </w:pPr>
          </w:p>
        </w:tc>
        <w:tc>
          <w:tcPr>
            <w:tcW w:w="322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простора</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Одржавање путева,</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gridSpan w:val="2"/>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бициклистичких стаза,</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одржавање зеленила,</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прелаза, јавних дечјих</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брига о исправности</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игралишта, стајалишта</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вода и друго у складу са</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 јавном саобраћају и</w:t>
            </w:r>
          </w:p>
        </w:tc>
        <w:tc>
          <w:tcPr>
            <w:tcW w:w="100" w:type="dxa"/>
            <w:shd w:val="clear" w:color="auto" w:fill="auto"/>
            <w:vAlign w:val="bottom"/>
          </w:tcPr>
          <w:p>
            <w:pPr>
              <w:spacing w:line="0" w:lineRule="atLeast"/>
              <w:rPr>
                <w:sz w:val="13"/>
                <w:lang w:val="sr-Cyrl-RS"/>
              </w:rPr>
            </w:pPr>
          </w:p>
        </w:tc>
        <w:tc>
          <w:tcPr>
            <w:tcW w:w="322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надлежностима</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gridSpan w:val="2"/>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друго.</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предузећа.</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Одржив систем</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84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управљања отпадом,</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одржавање водоводне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мреже и уређење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изворишта воде,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постављање дечијих</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игралишта и друго</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631"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840" w:type="dxa"/>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2760" w:type="dxa"/>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3200" w:type="dxa"/>
            <w:gridSpan w:val="2"/>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83" w:lineRule="exact"/>
        <w:rPr>
          <w:lang w:val="sr-Cyrl-RS"/>
        </w:rPr>
      </w:pPr>
      <w:bookmarkStart w:id="74" w:name="page35"/>
      <w:bookmarkEnd w:id="74"/>
    </w:p>
    <w:tbl>
      <w:tblPr>
        <w:tblStyle w:val="6"/>
        <w:tblW w:w="9380" w:type="dxa"/>
        <w:tblInd w:w="10" w:type="dxa"/>
        <w:tblLayout w:type="fixed"/>
        <w:tblCellMar>
          <w:top w:w="0" w:type="dxa"/>
          <w:left w:w="0" w:type="dxa"/>
          <w:bottom w:w="0" w:type="dxa"/>
          <w:right w:w="0" w:type="dxa"/>
        </w:tblCellMar>
      </w:tblPr>
      <w:tblGrid>
        <w:gridCol w:w="120"/>
        <w:gridCol w:w="2960"/>
        <w:gridCol w:w="100"/>
        <w:gridCol w:w="2880"/>
        <w:gridCol w:w="100"/>
        <w:gridCol w:w="3220"/>
      </w:tblGrid>
      <w:tr>
        <w:tblPrEx>
          <w:tblCellMar>
            <w:top w:w="0" w:type="dxa"/>
            <w:left w:w="0" w:type="dxa"/>
            <w:bottom w:w="0" w:type="dxa"/>
            <w:right w:w="0" w:type="dxa"/>
          </w:tblCellMar>
        </w:tblPrEx>
        <w:trPr>
          <w:trHeight w:val="295" w:hRule="atLeast"/>
        </w:trPr>
        <w:tc>
          <w:tcPr>
            <w:tcW w:w="120" w:type="dxa"/>
            <w:tcBorders>
              <w:top w:val="single" w:color="auto" w:sz="8" w:space="0"/>
              <w:left w:val="single" w:color="auto" w:sz="8" w:space="0"/>
            </w:tcBorders>
            <w:shd w:val="clear" w:color="auto" w:fill="auto"/>
            <w:vAlign w:val="bottom"/>
          </w:tcPr>
          <w:p>
            <w:pPr>
              <w:spacing w:line="0" w:lineRule="atLeast"/>
              <w:rPr>
                <w:lang w:val="sr-Cyrl-RS"/>
              </w:rPr>
            </w:pPr>
          </w:p>
        </w:tc>
        <w:tc>
          <w:tcPr>
            <w:tcW w:w="2960" w:type="dxa"/>
            <w:tcBorders>
              <w:top w:val="single" w:color="auto" w:sz="8" w:space="0"/>
              <w:right w:val="single" w:color="auto" w:sz="8" w:space="0"/>
            </w:tcBorders>
            <w:shd w:val="clear" w:color="auto" w:fill="auto"/>
            <w:vAlign w:val="bottom"/>
          </w:tcPr>
          <w:p>
            <w:pPr>
              <w:spacing w:line="0" w:lineRule="atLeast"/>
              <w:rPr>
                <w:lang w:val="sr-Cyrl-RS"/>
              </w:rPr>
            </w:pPr>
          </w:p>
        </w:tc>
        <w:tc>
          <w:tcPr>
            <w:tcW w:w="100" w:type="dxa"/>
            <w:tcBorders>
              <w:top w:val="single" w:color="auto" w:sz="8" w:space="0"/>
            </w:tcBorders>
            <w:shd w:val="clear" w:color="auto" w:fill="auto"/>
            <w:vAlign w:val="bottom"/>
          </w:tcPr>
          <w:p>
            <w:pPr>
              <w:spacing w:line="0" w:lineRule="atLeast"/>
              <w:rPr>
                <w:lang w:val="sr-Cyrl-RS"/>
              </w:rPr>
            </w:pPr>
          </w:p>
        </w:tc>
        <w:tc>
          <w:tcPr>
            <w:tcW w:w="288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Одржавање чистоће и</w:t>
            </w:r>
          </w:p>
        </w:tc>
        <w:tc>
          <w:tcPr>
            <w:tcW w:w="100" w:type="dxa"/>
            <w:tcBorders>
              <w:top w:val="single" w:color="auto" w:sz="8" w:space="0"/>
            </w:tcBorders>
            <w:shd w:val="clear" w:color="auto" w:fill="auto"/>
            <w:vAlign w:val="bottom"/>
          </w:tcPr>
          <w:p>
            <w:pPr>
              <w:spacing w:line="0" w:lineRule="atLeast"/>
              <w:rPr>
                <w:lang w:val="sr-Cyrl-RS"/>
              </w:rPr>
            </w:pPr>
          </w:p>
        </w:tc>
        <w:tc>
          <w:tcPr>
            <w:tcW w:w="3220" w:type="dxa"/>
            <w:tcBorders>
              <w:top w:val="single" w:color="auto" w:sz="8" w:space="0"/>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других сегмената из</w:t>
            </w:r>
          </w:p>
        </w:tc>
        <w:tc>
          <w:tcPr>
            <w:tcW w:w="100" w:type="dxa"/>
            <w:shd w:val="clear" w:color="auto" w:fill="auto"/>
            <w:vAlign w:val="bottom"/>
          </w:tcPr>
          <w:p>
            <w:pPr>
              <w:spacing w:line="0" w:lineRule="atLeast"/>
              <w:rPr>
                <w:lang w:val="sr-Cyrl-RS"/>
              </w:rPr>
            </w:pPr>
          </w:p>
        </w:tc>
        <w:tc>
          <w:tcPr>
            <w:tcW w:w="32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делатности</w:t>
            </w:r>
          </w:p>
        </w:tc>
        <w:tc>
          <w:tcPr>
            <w:tcW w:w="100" w:type="dxa"/>
            <w:shd w:val="clear" w:color="auto" w:fill="auto"/>
            <w:vAlign w:val="bottom"/>
          </w:tcPr>
          <w:p>
            <w:pPr>
              <w:spacing w:line="0" w:lineRule="atLeast"/>
              <w:rPr>
                <w:lang w:val="sr-Cyrl-RS"/>
              </w:rPr>
            </w:pPr>
          </w:p>
        </w:tc>
        <w:tc>
          <w:tcPr>
            <w:tcW w:w="32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4</w:t>
            </w:r>
          </w:p>
        </w:tc>
        <w:tc>
          <w:tcPr>
            <w:tcW w:w="100" w:type="dxa"/>
            <w:shd w:val="clear" w:color="auto" w:fill="auto"/>
            <w:vAlign w:val="bottom"/>
          </w:tcPr>
          <w:p>
            <w:pPr>
              <w:spacing w:line="0" w:lineRule="atLeast"/>
              <w:rPr>
                <w:lang w:val="sr-Cyrl-RS"/>
              </w:rPr>
            </w:pPr>
          </w:p>
        </w:tc>
        <w:tc>
          <w:tcPr>
            <w:tcW w:w="32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96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288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3220" w:type="dxa"/>
            <w:tcBorders>
              <w:bottom w:val="single" w:color="auto" w:sz="8" w:space="0"/>
              <w:right w:val="single" w:color="auto" w:sz="8" w:space="0"/>
            </w:tcBorders>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trHeight w:val="275" w:hRule="atLeast"/>
        </w:trPr>
        <w:tc>
          <w:tcPr>
            <w:tcW w:w="120" w:type="dxa"/>
            <w:tcBorders>
              <w:left w:val="single" w:color="auto" w:sz="8" w:space="0"/>
            </w:tcBorders>
            <w:shd w:val="clear" w:color="auto" w:fill="DDDDDD"/>
            <w:vAlign w:val="bottom"/>
          </w:tcPr>
          <w:p>
            <w:pPr>
              <w:spacing w:line="0" w:lineRule="atLeast"/>
              <w:rPr>
                <w:sz w:val="23"/>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9.  Туристичка</w:t>
            </w:r>
          </w:p>
        </w:tc>
        <w:tc>
          <w:tcPr>
            <w:tcW w:w="100" w:type="dxa"/>
            <w:shd w:val="clear" w:color="auto" w:fill="DDDDDD"/>
            <w:vAlign w:val="bottom"/>
          </w:tcPr>
          <w:p>
            <w:pPr>
              <w:spacing w:line="0" w:lineRule="atLeast"/>
              <w:rPr>
                <w:sz w:val="23"/>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Промовисање</w:t>
            </w:r>
          </w:p>
        </w:tc>
        <w:tc>
          <w:tcPr>
            <w:tcW w:w="100" w:type="dxa"/>
            <w:shd w:val="clear" w:color="auto" w:fill="DDDDDD"/>
            <w:vAlign w:val="bottom"/>
          </w:tcPr>
          <w:p>
            <w:pPr>
              <w:spacing w:line="0" w:lineRule="atLeast"/>
              <w:rPr>
                <w:sz w:val="23"/>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Промоција дестинације,</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организација Србије</w:t>
            </w: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туристичке понуде и</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учешће у креирању</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успостављање имиџа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туристичког производа,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Србије као атрактивне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учешће у изради и</w:t>
            </w: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туристичке дестинације;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реализацији стратешке</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 Представљање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документације у туризму</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туристичке понуде на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специјализованим</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домаћим и</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међународним</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сајмовима;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 Представљање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туристичке понуде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представницима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водећих светских</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медија и</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турооператорима и</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друго из делатности.</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63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Повећање туристичког промета.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Одрживи развој</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туризма.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Позитиван имиџ</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Утицај на креирање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имиџа дестинације,</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учешће у јавним</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96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88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телима.</w:t>
            </w:r>
          </w:p>
        </w:tc>
        <w:tc>
          <w:tcPr>
            <w:tcW w:w="100" w:type="dxa"/>
            <w:shd w:val="clear" w:color="auto" w:fill="DDDDDD"/>
            <w:vAlign w:val="bottom"/>
          </w:tcPr>
          <w:p>
            <w:pPr>
              <w:spacing w:line="0" w:lineRule="atLeast"/>
              <w:rPr>
                <w:lang w:val="sr-Cyrl-RS"/>
              </w:rPr>
            </w:pPr>
          </w:p>
        </w:tc>
        <w:tc>
          <w:tcPr>
            <w:tcW w:w="32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DDDDD" w:sz="8" w:space="0"/>
            </w:tcBorders>
            <w:shd w:val="clear" w:color="auto" w:fill="DDDDDD"/>
            <w:vAlign w:val="bottom"/>
          </w:tcPr>
          <w:p>
            <w:pPr>
              <w:spacing w:line="0" w:lineRule="atLeast"/>
              <w:rPr>
                <w:lang w:val="sr-Cyrl-RS"/>
              </w:rPr>
            </w:pPr>
          </w:p>
        </w:tc>
        <w:tc>
          <w:tcPr>
            <w:tcW w:w="296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2880" w:type="dxa"/>
            <w:tcBorders>
              <w:bottom w:val="single" w:color="DDDDDD"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4</w:t>
            </w:r>
          </w:p>
        </w:tc>
        <w:tc>
          <w:tcPr>
            <w:tcW w:w="100" w:type="dxa"/>
            <w:tcBorders>
              <w:bottom w:val="single" w:color="DDDDDD" w:sz="8" w:space="0"/>
            </w:tcBorders>
            <w:shd w:val="clear" w:color="auto" w:fill="DDDDDD"/>
            <w:vAlign w:val="bottom"/>
          </w:tcPr>
          <w:p>
            <w:pPr>
              <w:spacing w:line="0" w:lineRule="atLeast"/>
              <w:rPr>
                <w:lang w:val="sr-Cyrl-RS"/>
              </w:rPr>
            </w:pPr>
          </w:p>
        </w:tc>
        <w:tc>
          <w:tcPr>
            <w:tcW w:w="322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120" w:type="dxa"/>
            <w:tcBorders>
              <w:top w:val="single" w:color="auto" w:sz="8" w:space="0"/>
              <w:left w:val="single" w:color="auto" w:sz="8" w:space="0"/>
            </w:tcBorders>
            <w:shd w:val="clear" w:color="auto" w:fill="auto"/>
            <w:vAlign w:val="bottom"/>
          </w:tcPr>
          <w:p>
            <w:pPr>
              <w:spacing w:line="0" w:lineRule="atLeast"/>
              <w:rPr>
                <w:sz w:val="23"/>
                <w:lang w:val="sr-Cyrl-RS"/>
              </w:rPr>
            </w:pPr>
          </w:p>
        </w:tc>
        <w:tc>
          <w:tcPr>
            <w:tcW w:w="2960" w:type="dxa"/>
            <w:tcBorders>
              <w:top w:val="single" w:color="auto" w:sz="8" w:space="0"/>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10.Туристичка</w:t>
            </w:r>
          </w:p>
        </w:tc>
        <w:tc>
          <w:tcPr>
            <w:tcW w:w="100" w:type="dxa"/>
            <w:tcBorders>
              <w:top w:val="single" w:color="auto" w:sz="8" w:space="0"/>
            </w:tcBorders>
            <w:shd w:val="clear" w:color="auto" w:fill="auto"/>
            <w:vAlign w:val="bottom"/>
          </w:tcPr>
          <w:p>
            <w:pPr>
              <w:spacing w:line="0" w:lineRule="atLeast"/>
              <w:rPr>
                <w:sz w:val="23"/>
                <w:lang w:val="sr-Cyrl-RS"/>
              </w:rPr>
            </w:pPr>
          </w:p>
        </w:tc>
        <w:tc>
          <w:tcPr>
            <w:tcW w:w="288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Повећање туристичког промета.</w:t>
            </w:r>
          </w:p>
        </w:tc>
        <w:tc>
          <w:tcPr>
            <w:tcW w:w="100" w:type="dxa"/>
            <w:tcBorders>
              <w:top w:val="single" w:color="auto" w:sz="8" w:space="0"/>
            </w:tcBorders>
            <w:shd w:val="clear" w:color="auto" w:fill="auto"/>
            <w:vAlign w:val="bottom"/>
          </w:tcPr>
          <w:p>
            <w:pPr>
              <w:spacing w:line="0" w:lineRule="atLeast"/>
              <w:rPr>
                <w:sz w:val="23"/>
                <w:lang w:val="sr-Cyrl-RS"/>
              </w:rPr>
            </w:pPr>
          </w:p>
        </w:tc>
        <w:tc>
          <w:tcPr>
            <w:tcW w:w="3220" w:type="dxa"/>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Пружање помоћи кроз</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организација Ниш</w:t>
            </w:r>
          </w:p>
        </w:tc>
        <w:tc>
          <w:tcPr>
            <w:tcW w:w="100" w:type="dxa"/>
            <w:shd w:val="clear" w:color="auto" w:fill="auto"/>
            <w:vAlign w:val="bottom"/>
          </w:tcPr>
          <w:p>
            <w:pPr>
              <w:spacing w:line="0" w:lineRule="atLeast"/>
              <w:rPr>
                <w:lang w:val="sr-Cyrl-RS"/>
              </w:rPr>
            </w:pPr>
          </w:p>
        </w:tc>
        <w:tc>
          <w:tcPr>
            <w:tcW w:w="28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Одрживи развој туризма</w:t>
            </w:r>
          </w:p>
        </w:tc>
        <w:tc>
          <w:tcPr>
            <w:tcW w:w="100" w:type="dxa"/>
            <w:shd w:val="clear" w:color="auto" w:fill="auto"/>
            <w:vAlign w:val="bottom"/>
          </w:tcPr>
          <w:p>
            <w:pPr>
              <w:spacing w:line="0" w:lineRule="atLeast"/>
              <w:rPr>
                <w:lang w:val="sr-Cyrl-RS"/>
              </w:rPr>
            </w:pPr>
          </w:p>
        </w:tc>
        <w:tc>
          <w:tcPr>
            <w:tcW w:w="32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маркетиншке активности,</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(јавни сектор)</w:t>
            </w:r>
          </w:p>
        </w:tc>
        <w:tc>
          <w:tcPr>
            <w:tcW w:w="100" w:type="dxa"/>
            <w:shd w:val="clear" w:color="auto" w:fill="auto"/>
            <w:vAlign w:val="bottom"/>
          </w:tcPr>
          <w:p>
            <w:pPr>
              <w:spacing w:line="0" w:lineRule="atLeast"/>
              <w:rPr>
                <w:lang w:val="sr-Cyrl-RS"/>
              </w:rPr>
            </w:pPr>
          </w:p>
        </w:tc>
        <w:tc>
          <w:tcPr>
            <w:tcW w:w="28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Позитиван имиџ</w:t>
            </w:r>
          </w:p>
        </w:tc>
        <w:tc>
          <w:tcPr>
            <w:tcW w:w="100" w:type="dxa"/>
            <w:shd w:val="clear" w:color="auto" w:fill="auto"/>
            <w:vAlign w:val="bottom"/>
          </w:tcPr>
          <w:p>
            <w:pPr>
              <w:spacing w:line="0" w:lineRule="atLeast"/>
              <w:rPr>
                <w:lang w:val="sr-Cyrl-RS"/>
              </w:rPr>
            </w:pPr>
          </w:p>
        </w:tc>
        <w:tc>
          <w:tcPr>
            <w:tcW w:w="32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креирање туристичких</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lang w:val="sr-Cyrl-RS"/>
              </w:rPr>
              <w:t>Основана за</w:t>
            </w:r>
            <w:r>
              <w:rPr>
                <w:rFonts w:ascii="Arial" w:hAnsi="Arial" w:eastAsia="Arial"/>
                <w:b/>
                <w:lang w:val="sr-Cyrl-RS"/>
              </w:rPr>
              <w:t>:</w:t>
            </w:r>
          </w:p>
        </w:tc>
        <w:tc>
          <w:tcPr>
            <w:tcW w:w="100" w:type="dxa"/>
            <w:shd w:val="clear" w:color="auto" w:fill="auto"/>
            <w:vAlign w:val="bottom"/>
          </w:tcPr>
          <w:p>
            <w:pPr>
              <w:spacing w:line="0" w:lineRule="atLeast"/>
              <w:rPr>
                <w:lang w:val="sr-Cyrl-RS"/>
              </w:rPr>
            </w:pPr>
          </w:p>
        </w:tc>
        <w:tc>
          <w:tcPr>
            <w:tcW w:w="288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дестинације</w:t>
            </w:r>
          </w:p>
        </w:tc>
        <w:tc>
          <w:tcPr>
            <w:tcW w:w="100" w:type="dxa"/>
            <w:shd w:val="clear" w:color="auto" w:fill="auto"/>
            <w:vAlign w:val="bottom"/>
          </w:tcPr>
          <w:p>
            <w:pPr>
              <w:spacing w:line="0" w:lineRule="atLeast"/>
              <w:rPr>
                <w:lang w:val="sr-Cyrl-RS"/>
              </w:rPr>
            </w:pPr>
          </w:p>
        </w:tc>
        <w:tc>
          <w:tcPr>
            <w:tcW w:w="322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производа и стварања</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100" w:type="dxa"/>
            <w:shd w:val="clear" w:color="auto" w:fill="auto"/>
            <w:vAlign w:val="bottom"/>
          </w:tcPr>
          <w:p>
            <w:pPr>
              <w:spacing w:line="0" w:lineRule="atLeast"/>
              <w:rPr>
                <w:sz w:val="13"/>
                <w:lang w:val="sr-Cyrl-RS"/>
              </w:rPr>
            </w:pPr>
          </w:p>
        </w:tc>
        <w:tc>
          <w:tcPr>
            <w:tcW w:w="32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услова за прихват и</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промовисање туристичке</w:t>
            </w:r>
          </w:p>
        </w:tc>
        <w:tc>
          <w:tcPr>
            <w:tcW w:w="100" w:type="dxa"/>
            <w:shd w:val="clear" w:color="auto" w:fill="auto"/>
            <w:vAlign w:val="bottom"/>
          </w:tcPr>
          <w:p>
            <w:pPr>
              <w:spacing w:line="0" w:lineRule="atLeast"/>
              <w:rPr>
                <w:sz w:val="13"/>
                <w:lang w:val="sr-Cyrl-RS"/>
              </w:rPr>
            </w:pPr>
          </w:p>
        </w:tc>
        <w:tc>
          <w:tcPr>
            <w:tcW w:w="288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боравак туриста</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понуде и успостављање</w:t>
            </w:r>
          </w:p>
        </w:tc>
        <w:tc>
          <w:tcPr>
            <w:tcW w:w="100" w:type="dxa"/>
            <w:shd w:val="clear" w:color="auto" w:fill="auto"/>
            <w:vAlign w:val="bottom"/>
          </w:tcPr>
          <w:p>
            <w:pPr>
              <w:spacing w:line="0" w:lineRule="atLeast"/>
              <w:rPr>
                <w:sz w:val="13"/>
                <w:lang w:val="sr-Cyrl-RS"/>
              </w:rPr>
            </w:pPr>
          </w:p>
        </w:tc>
        <w:tc>
          <w:tcPr>
            <w:tcW w:w="2880" w:type="dxa"/>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Немају значајан утицај у</w:t>
            </w:r>
          </w:p>
        </w:tc>
        <w:tc>
          <w:tcPr>
            <w:tcW w:w="100" w:type="dxa"/>
            <w:shd w:val="clear" w:color="auto" w:fill="auto"/>
            <w:vAlign w:val="bottom"/>
          </w:tcPr>
          <w:p>
            <w:pPr>
              <w:spacing w:line="0" w:lineRule="atLeast"/>
              <w:rPr>
                <w:sz w:val="13"/>
                <w:lang w:val="sr-Cyrl-RS"/>
              </w:rPr>
            </w:pPr>
          </w:p>
        </w:tc>
        <w:tc>
          <w:tcPr>
            <w:tcW w:w="32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имиџа</w:t>
            </w:r>
            <w:r>
              <w:rPr>
                <w:rFonts w:ascii="Arial" w:hAnsi="Arial" w:eastAsia="Arial"/>
                <w:b/>
                <w:lang w:val="sr-Cyrl-RS"/>
              </w:rPr>
              <w:t>,</w:t>
            </w:r>
            <w:r>
              <w:rPr>
                <w:rFonts w:ascii="Arial" w:hAnsi="Arial" w:eastAsia="Arial"/>
                <w:lang w:val="sr-Cyrl-RS"/>
              </w:rPr>
              <w:t xml:space="preserve"> организовање</w:t>
            </w:r>
          </w:p>
        </w:tc>
        <w:tc>
          <w:tcPr>
            <w:tcW w:w="100" w:type="dxa"/>
            <w:shd w:val="clear" w:color="auto" w:fill="auto"/>
            <w:vAlign w:val="bottom"/>
          </w:tcPr>
          <w:p>
            <w:pPr>
              <w:spacing w:line="0" w:lineRule="atLeast"/>
              <w:rPr>
                <w:sz w:val="13"/>
                <w:lang w:val="sr-Cyrl-RS"/>
              </w:rPr>
            </w:pPr>
          </w:p>
        </w:tc>
        <w:tc>
          <w:tcPr>
            <w:tcW w:w="288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1"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доношењу одлука.</w:t>
            </w:r>
          </w:p>
        </w:tc>
        <w:tc>
          <w:tcPr>
            <w:tcW w:w="100" w:type="dxa"/>
            <w:shd w:val="clear" w:color="auto" w:fill="auto"/>
            <w:vAlign w:val="bottom"/>
          </w:tcPr>
          <w:p>
            <w:pPr>
              <w:spacing w:line="0" w:lineRule="atLeast"/>
              <w:rPr>
                <w:sz w:val="13"/>
                <w:lang w:val="sr-Cyrl-RS"/>
              </w:rPr>
            </w:pPr>
          </w:p>
        </w:tc>
        <w:tc>
          <w:tcPr>
            <w:tcW w:w="322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манифестација које би</w:t>
            </w:r>
          </w:p>
        </w:tc>
        <w:tc>
          <w:tcPr>
            <w:tcW w:w="100" w:type="dxa"/>
            <w:shd w:val="clear" w:color="auto" w:fill="auto"/>
            <w:vAlign w:val="bottom"/>
          </w:tcPr>
          <w:p>
            <w:pPr>
              <w:spacing w:line="0" w:lineRule="atLeast"/>
              <w:rPr>
                <w:sz w:val="13"/>
                <w:lang w:val="sr-Cyrl-RS"/>
              </w:rPr>
            </w:pPr>
          </w:p>
        </w:tc>
        <w:tc>
          <w:tcPr>
            <w:tcW w:w="288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Њихов утицај могао би</w:t>
            </w:r>
          </w:p>
        </w:tc>
        <w:tc>
          <w:tcPr>
            <w:tcW w:w="100" w:type="dxa"/>
            <w:shd w:val="clear" w:color="auto" w:fill="auto"/>
            <w:vAlign w:val="bottom"/>
          </w:tcPr>
          <w:p>
            <w:pPr>
              <w:spacing w:line="0" w:lineRule="atLeast"/>
              <w:rPr>
                <w:sz w:val="13"/>
                <w:lang w:val="sr-Cyrl-RS"/>
              </w:rPr>
            </w:pPr>
          </w:p>
        </w:tc>
        <w:tc>
          <w:tcPr>
            <w:tcW w:w="32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задовољиле</w:t>
            </w:r>
          </w:p>
        </w:tc>
        <w:tc>
          <w:tcPr>
            <w:tcW w:w="100" w:type="dxa"/>
            <w:shd w:val="clear" w:color="auto" w:fill="auto"/>
            <w:vAlign w:val="bottom"/>
          </w:tcPr>
          <w:p>
            <w:pPr>
              <w:spacing w:line="0" w:lineRule="atLeast"/>
              <w:rPr>
                <w:sz w:val="13"/>
                <w:lang w:val="sr-Cyrl-RS"/>
              </w:rPr>
            </w:pPr>
          </w:p>
        </w:tc>
        <w:tc>
          <w:tcPr>
            <w:tcW w:w="288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40"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96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288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3320" w:type="dxa"/>
            <w:gridSpan w:val="2"/>
            <w:tcBorders>
              <w:bottom w:val="single" w:color="auto" w:sz="8" w:space="0"/>
              <w:right w:val="single" w:color="auto" w:sz="8" w:space="0"/>
            </w:tcBorders>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gridAfter w:val="2"/>
          <w:wAfter w:w="3320" w:type="dxa"/>
          <w:trHeight w:val="395" w:hRule="atLeast"/>
        </w:trPr>
        <w:tc>
          <w:tcPr>
            <w:tcW w:w="120" w:type="dxa"/>
            <w:shd w:val="clear" w:color="auto" w:fill="auto"/>
            <w:vAlign w:val="bottom"/>
          </w:tcPr>
          <w:p>
            <w:pPr>
              <w:spacing w:line="0" w:lineRule="atLeast"/>
              <w:rPr>
                <w:lang w:val="sr-Cyrl-RS"/>
              </w:rPr>
            </w:pPr>
          </w:p>
        </w:tc>
        <w:tc>
          <w:tcPr>
            <w:tcW w:w="2960" w:type="dxa"/>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shd w:val="clear" w:color="auto" w:fill="auto"/>
            <w:vAlign w:val="bottom"/>
          </w:tcPr>
          <w:p>
            <w:pPr>
              <w:spacing w:line="0" w:lineRule="atLeast"/>
              <w:rPr>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00" w:lineRule="exact"/>
        <w:rPr>
          <w:lang w:val="sr-Cyrl-RS"/>
        </w:rPr>
      </w:pPr>
      <w:bookmarkStart w:id="75" w:name="page36"/>
      <w:bookmarkEnd w:id="75"/>
    </w:p>
    <w:p>
      <w:pPr>
        <w:spacing w:line="283" w:lineRule="exact"/>
        <w:rPr>
          <w:lang w:val="sr-Cyrl-RS"/>
        </w:rPr>
      </w:pPr>
    </w:p>
    <w:tbl>
      <w:tblPr>
        <w:tblStyle w:val="6"/>
        <w:tblW w:w="9380" w:type="dxa"/>
        <w:tblInd w:w="10" w:type="dxa"/>
        <w:tblLayout w:type="fixed"/>
        <w:tblCellMar>
          <w:top w:w="0" w:type="dxa"/>
          <w:left w:w="0" w:type="dxa"/>
          <w:bottom w:w="0" w:type="dxa"/>
          <w:right w:w="0" w:type="dxa"/>
        </w:tblCellMar>
      </w:tblPr>
      <w:tblGrid>
        <w:gridCol w:w="120"/>
        <w:gridCol w:w="2840"/>
        <w:gridCol w:w="120"/>
        <w:gridCol w:w="100"/>
        <w:gridCol w:w="2760"/>
        <w:gridCol w:w="120"/>
        <w:gridCol w:w="100"/>
        <w:gridCol w:w="3100"/>
        <w:gridCol w:w="120"/>
      </w:tblGrid>
      <w:tr>
        <w:tblPrEx>
          <w:tblCellMar>
            <w:top w:w="0" w:type="dxa"/>
            <w:left w:w="0" w:type="dxa"/>
            <w:bottom w:w="0" w:type="dxa"/>
            <w:right w:w="0" w:type="dxa"/>
          </w:tblCellMar>
        </w:tblPrEx>
        <w:trPr>
          <w:trHeight w:val="295" w:hRule="atLeast"/>
        </w:trPr>
        <w:tc>
          <w:tcPr>
            <w:tcW w:w="120" w:type="dxa"/>
            <w:tcBorders>
              <w:top w:val="single" w:color="auto" w:sz="8" w:space="0"/>
              <w:left w:val="single" w:color="auto" w:sz="8" w:space="0"/>
            </w:tcBorders>
            <w:shd w:val="clear" w:color="auto" w:fill="auto"/>
            <w:vAlign w:val="bottom"/>
          </w:tcPr>
          <w:p>
            <w:pPr>
              <w:spacing w:line="0" w:lineRule="atLeast"/>
              <w:rPr>
                <w:lang w:val="sr-Cyrl-RS"/>
              </w:rPr>
            </w:pPr>
          </w:p>
        </w:tc>
        <w:tc>
          <w:tcPr>
            <w:tcW w:w="2960" w:type="dxa"/>
            <w:gridSpan w:val="2"/>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диверзификоване</w:t>
            </w:r>
          </w:p>
        </w:tc>
        <w:tc>
          <w:tcPr>
            <w:tcW w:w="100" w:type="dxa"/>
            <w:tcBorders>
              <w:top w:val="single" w:color="auto" w:sz="8" w:space="0"/>
            </w:tcBorders>
            <w:shd w:val="clear" w:color="auto" w:fill="auto"/>
            <w:vAlign w:val="bottom"/>
          </w:tcPr>
          <w:p>
            <w:pPr>
              <w:spacing w:line="0" w:lineRule="atLeast"/>
              <w:rPr>
                <w:lang w:val="sr-Cyrl-RS"/>
              </w:rPr>
            </w:pPr>
          </w:p>
        </w:tc>
        <w:tc>
          <w:tcPr>
            <w:tcW w:w="2880" w:type="dxa"/>
            <w:gridSpan w:val="2"/>
            <w:tcBorders>
              <w:top w:val="single" w:color="auto" w:sz="8" w:space="0"/>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бити у домену</w:t>
            </w:r>
          </w:p>
        </w:tc>
        <w:tc>
          <w:tcPr>
            <w:tcW w:w="100" w:type="dxa"/>
            <w:tcBorders>
              <w:top w:val="single" w:color="auto" w:sz="8" w:space="0"/>
            </w:tcBorders>
            <w:shd w:val="clear" w:color="auto" w:fill="auto"/>
            <w:vAlign w:val="bottom"/>
          </w:tcPr>
          <w:p>
            <w:pPr>
              <w:spacing w:line="0" w:lineRule="atLeast"/>
              <w:rPr>
                <w:lang w:val="sr-Cyrl-RS"/>
              </w:rPr>
            </w:pPr>
          </w:p>
        </w:tc>
        <w:tc>
          <w:tcPr>
            <w:tcW w:w="3100" w:type="dxa"/>
            <w:tcBorders>
              <w:top w:val="single" w:color="auto" w:sz="8" w:space="0"/>
            </w:tcBorders>
            <w:shd w:val="clear" w:color="auto" w:fill="auto"/>
            <w:vAlign w:val="bottom"/>
          </w:tcPr>
          <w:p>
            <w:pPr>
              <w:spacing w:line="0" w:lineRule="atLeast"/>
              <w:rPr>
                <w:lang w:val="sr-Cyrl-RS"/>
              </w:rPr>
            </w:pPr>
          </w:p>
        </w:tc>
        <w:tc>
          <w:tcPr>
            <w:tcW w:w="120" w:type="dxa"/>
            <w:tcBorders>
              <w:top w:val="single" w:color="auto" w:sz="8" w:space="0"/>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lang w:val="sr-Cyrl-RS"/>
              </w:rPr>
              <w:t>потребе посетилаца</w:t>
            </w:r>
            <w:r>
              <w:rPr>
                <w:rFonts w:ascii="Arial" w:hAnsi="Arial" w:eastAsia="Arial"/>
                <w:b/>
                <w:lang w:val="sr-Cyrl-RS"/>
              </w:rPr>
              <w:t>,</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промоције дестинације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представљање</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Обједињеним наступом на сајмовима, манифестацијама, заједничка промоција дестинације.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туристичке понуде на</w:t>
            </w:r>
          </w:p>
        </w:tc>
        <w:tc>
          <w:tcPr>
            <w:tcW w:w="100" w:type="dxa"/>
            <w:shd w:val="clear" w:color="auto" w:fill="auto"/>
            <w:vAlign w:val="bottom"/>
          </w:tcPr>
          <w:p>
            <w:pPr>
              <w:spacing w:line="0" w:lineRule="atLeast"/>
              <w:rPr>
                <w:lang w:val="sr-Cyrl-RS"/>
              </w:rPr>
            </w:pPr>
          </w:p>
        </w:tc>
        <w:tc>
          <w:tcPr>
            <w:tcW w:w="27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специјализованим</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домаћим и</w:t>
            </w:r>
          </w:p>
        </w:tc>
        <w:tc>
          <w:tcPr>
            <w:tcW w:w="100" w:type="dxa"/>
            <w:shd w:val="clear" w:color="auto" w:fill="auto"/>
            <w:vAlign w:val="bottom"/>
          </w:tcPr>
          <w:p>
            <w:pPr>
              <w:spacing w:line="0" w:lineRule="atLeast"/>
              <w:rPr>
                <w:lang w:val="sr-Cyrl-RS"/>
              </w:rPr>
            </w:pPr>
          </w:p>
        </w:tc>
        <w:tc>
          <w:tcPr>
            <w:tcW w:w="27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међународним</w:t>
            </w:r>
          </w:p>
        </w:tc>
        <w:tc>
          <w:tcPr>
            <w:tcW w:w="100" w:type="dxa"/>
            <w:shd w:val="clear" w:color="auto" w:fill="auto"/>
            <w:vAlign w:val="bottom"/>
          </w:tcPr>
          <w:p>
            <w:pPr>
              <w:spacing w:line="0" w:lineRule="atLeast"/>
              <w:rPr>
                <w:lang w:val="sr-Cyrl-RS"/>
              </w:rPr>
            </w:pPr>
          </w:p>
        </w:tc>
        <w:tc>
          <w:tcPr>
            <w:tcW w:w="27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сајмовима и друго</w:t>
            </w:r>
          </w:p>
        </w:tc>
        <w:tc>
          <w:tcPr>
            <w:tcW w:w="100" w:type="dxa"/>
            <w:shd w:val="clear" w:color="auto" w:fill="auto"/>
            <w:vAlign w:val="bottom"/>
          </w:tcPr>
          <w:p>
            <w:pPr>
              <w:spacing w:line="0" w:lineRule="atLeast"/>
              <w:rPr>
                <w:lang w:val="sr-Cyrl-RS"/>
              </w:rPr>
            </w:pPr>
          </w:p>
        </w:tc>
        <w:tc>
          <w:tcPr>
            <w:tcW w:w="276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205" w:hRule="atLeast"/>
        </w:trPr>
        <w:tc>
          <w:tcPr>
            <w:tcW w:w="120" w:type="dxa"/>
            <w:tcBorders>
              <w:left w:val="single" w:color="auto" w:sz="8" w:space="0"/>
              <w:bottom w:val="single" w:color="auto" w:sz="8" w:space="0"/>
            </w:tcBorders>
            <w:shd w:val="clear" w:color="auto" w:fill="auto"/>
            <w:vAlign w:val="bottom"/>
          </w:tcPr>
          <w:p>
            <w:pPr>
              <w:spacing w:line="0" w:lineRule="atLeast"/>
              <w:rPr>
                <w:sz w:val="17"/>
                <w:lang w:val="sr-Cyrl-RS"/>
              </w:rPr>
            </w:pPr>
          </w:p>
        </w:tc>
        <w:tc>
          <w:tcPr>
            <w:tcW w:w="2840" w:type="dxa"/>
            <w:tcBorders>
              <w:bottom w:val="single" w:color="auto" w:sz="8" w:space="0"/>
            </w:tcBorders>
            <w:shd w:val="clear" w:color="auto" w:fill="auto"/>
            <w:vAlign w:val="bottom"/>
          </w:tcPr>
          <w:p>
            <w:pPr>
              <w:spacing w:line="0" w:lineRule="atLeast"/>
              <w:rPr>
                <w:sz w:val="17"/>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17"/>
                <w:lang w:val="sr-Cyrl-RS"/>
              </w:rPr>
            </w:pPr>
          </w:p>
        </w:tc>
        <w:tc>
          <w:tcPr>
            <w:tcW w:w="100" w:type="dxa"/>
            <w:tcBorders>
              <w:bottom w:val="single" w:color="auto" w:sz="8" w:space="0"/>
            </w:tcBorders>
            <w:shd w:val="clear" w:color="auto" w:fill="auto"/>
            <w:vAlign w:val="bottom"/>
          </w:tcPr>
          <w:p>
            <w:pPr>
              <w:spacing w:line="0" w:lineRule="atLeast"/>
              <w:rPr>
                <w:sz w:val="17"/>
                <w:lang w:val="sr-Cyrl-RS"/>
              </w:rPr>
            </w:pPr>
          </w:p>
        </w:tc>
        <w:tc>
          <w:tcPr>
            <w:tcW w:w="2760" w:type="dxa"/>
            <w:tcBorders>
              <w:bottom w:val="single" w:color="auto" w:sz="8" w:space="0"/>
            </w:tcBorders>
            <w:shd w:val="clear" w:color="auto" w:fill="auto"/>
            <w:vAlign w:val="bottom"/>
          </w:tcPr>
          <w:p>
            <w:pPr>
              <w:spacing w:line="0" w:lineRule="atLeast"/>
              <w:rPr>
                <w:sz w:val="17"/>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17"/>
                <w:lang w:val="sr-Cyrl-RS"/>
              </w:rPr>
            </w:pPr>
          </w:p>
        </w:tc>
        <w:tc>
          <w:tcPr>
            <w:tcW w:w="100" w:type="dxa"/>
            <w:tcBorders>
              <w:bottom w:val="single" w:color="auto" w:sz="8" w:space="0"/>
            </w:tcBorders>
            <w:shd w:val="clear" w:color="auto" w:fill="auto"/>
            <w:vAlign w:val="bottom"/>
          </w:tcPr>
          <w:p>
            <w:pPr>
              <w:spacing w:line="0" w:lineRule="atLeast"/>
              <w:rPr>
                <w:sz w:val="17"/>
                <w:lang w:val="sr-Cyrl-RS"/>
              </w:rPr>
            </w:pPr>
          </w:p>
        </w:tc>
        <w:tc>
          <w:tcPr>
            <w:tcW w:w="3100" w:type="dxa"/>
            <w:tcBorders>
              <w:bottom w:val="single" w:color="auto" w:sz="8" w:space="0"/>
            </w:tcBorders>
            <w:shd w:val="clear" w:color="auto" w:fill="auto"/>
            <w:vAlign w:val="bottom"/>
          </w:tcPr>
          <w:p>
            <w:pPr>
              <w:spacing w:line="0" w:lineRule="atLeast"/>
              <w:rPr>
                <w:sz w:val="17"/>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17"/>
                <w:lang w:val="sr-Cyrl-RS"/>
              </w:rPr>
            </w:pPr>
          </w:p>
        </w:tc>
      </w:tr>
      <w:tr>
        <w:tblPrEx>
          <w:tblCellMar>
            <w:top w:w="0" w:type="dxa"/>
            <w:left w:w="0" w:type="dxa"/>
            <w:bottom w:w="0" w:type="dxa"/>
            <w:right w:w="0" w:type="dxa"/>
          </w:tblCellMar>
        </w:tblPrEx>
        <w:trPr>
          <w:trHeight w:val="276" w:hRule="atLeast"/>
        </w:trPr>
        <w:tc>
          <w:tcPr>
            <w:tcW w:w="120" w:type="dxa"/>
            <w:tcBorders>
              <w:left w:val="single" w:color="auto" w:sz="8" w:space="0"/>
            </w:tcBorders>
            <w:shd w:val="clear" w:color="auto" w:fill="DDDDDD"/>
            <w:vAlign w:val="bottom"/>
          </w:tcPr>
          <w:p>
            <w:pPr>
              <w:spacing w:line="0" w:lineRule="atLeast"/>
              <w:rPr>
                <w:sz w:val="23"/>
                <w:lang w:val="sr-Cyrl-RS"/>
              </w:rPr>
            </w:pPr>
          </w:p>
        </w:tc>
        <w:tc>
          <w:tcPr>
            <w:tcW w:w="2840" w:type="dxa"/>
            <w:shd w:val="clear" w:color="auto" w:fill="DDDDDD"/>
            <w:vAlign w:val="bottom"/>
          </w:tcPr>
          <w:p>
            <w:pPr>
              <w:spacing w:line="0" w:lineRule="atLeast"/>
              <w:rPr>
                <w:rFonts w:ascii="Arial" w:hAnsi="Arial" w:eastAsia="Arial"/>
                <w:b/>
                <w:highlight w:val="lightGray"/>
                <w:lang w:val="sr-Cyrl-RS"/>
              </w:rPr>
            </w:pPr>
            <w:r>
              <w:rPr>
                <w:rFonts w:ascii="Arial" w:hAnsi="Arial" w:eastAsia="Arial"/>
                <w:b/>
                <w:highlight w:val="lightGray"/>
                <w:lang w:val="sr-Cyrl-RS"/>
              </w:rPr>
              <w:t>11.Локална туристичка</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100" w:type="dxa"/>
            <w:shd w:val="clear" w:color="auto" w:fill="DDDDDD"/>
            <w:vAlign w:val="bottom"/>
          </w:tcPr>
          <w:p>
            <w:pPr>
              <w:spacing w:line="0" w:lineRule="atLeast"/>
              <w:rPr>
                <w:sz w:val="23"/>
                <w:lang w:val="sr-Cyrl-RS"/>
              </w:rPr>
            </w:pPr>
          </w:p>
        </w:tc>
        <w:tc>
          <w:tcPr>
            <w:tcW w:w="2760" w:type="dxa"/>
            <w:shd w:val="clear" w:color="auto" w:fill="DDDDDD"/>
            <w:vAlign w:val="bottom"/>
          </w:tcPr>
          <w:p>
            <w:pPr>
              <w:spacing w:line="0" w:lineRule="atLeast"/>
              <w:rPr>
                <w:rFonts w:ascii="Arial" w:hAnsi="Arial" w:eastAsia="Arial"/>
                <w:w w:val="99"/>
                <w:highlight w:val="lightGray"/>
                <w:lang w:val="sr-Cyrl-RS"/>
              </w:rPr>
            </w:pPr>
            <w:r>
              <w:rPr>
                <w:rFonts w:ascii="Arial" w:hAnsi="Arial" w:eastAsia="Arial"/>
                <w:w w:val="99"/>
                <w:highlight w:val="lightGray"/>
                <w:lang w:val="sr-Cyrl-RS"/>
              </w:rPr>
              <w:t>Повећање туристичког промета</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100" w:type="dxa"/>
            <w:shd w:val="clear" w:color="auto" w:fill="DDDDDD"/>
            <w:vAlign w:val="bottom"/>
          </w:tcPr>
          <w:p>
            <w:pPr>
              <w:spacing w:line="0" w:lineRule="atLeast"/>
              <w:rPr>
                <w:sz w:val="23"/>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Пружање помоћи кроз</w:t>
            </w:r>
          </w:p>
        </w:tc>
        <w:tc>
          <w:tcPr>
            <w:tcW w:w="120" w:type="dxa"/>
            <w:tcBorders>
              <w:right w:val="single" w:color="auto" w:sz="8" w:space="0"/>
            </w:tcBorders>
            <w:shd w:val="clear" w:color="auto" w:fill="DDDDDD"/>
            <w:vAlign w:val="bottom"/>
          </w:tcPr>
          <w:p>
            <w:pPr>
              <w:spacing w:line="0" w:lineRule="atLeast"/>
              <w:rPr>
                <w:sz w:val="2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организација Гаџин</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w w:val="99"/>
                <w:highlight w:val="lightGray"/>
                <w:lang w:val="sr-Cyrl-RS"/>
              </w:rPr>
            </w:pPr>
            <w:r>
              <w:rPr>
                <w:rFonts w:ascii="Arial" w:hAnsi="Arial" w:eastAsia="Arial"/>
                <w:w w:val="99"/>
                <w:highlight w:val="lightGray"/>
                <w:lang w:val="sr-Cyrl-RS"/>
              </w:rPr>
              <w:t>Одрживи развој туризма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маркетиншке активности,</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lang w:val="sr-Cyrl-RS"/>
              </w:rPr>
            </w:pPr>
            <w:r>
              <w:rPr>
                <w:rFonts w:ascii="Arial" w:hAnsi="Arial" w:eastAsia="Arial"/>
                <w:b/>
                <w:lang w:val="sr-Cyrl-RS"/>
              </w:rPr>
              <w:t>Хан</w:t>
            </w:r>
            <w:r>
              <w:rPr>
                <w:rFonts w:ascii="Arial" w:hAnsi="Arial" w:eastAsia="Arial"/>
                <w:lang w:val="sr-Cyrl-RS"/>
              </w:rPr>
              <w:t xml:space="preserve"> (јавни сектор)</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Позитиван имиџ</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креирање туристичких</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Основана за: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производа и стварања</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услова за прихват и</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Промовисање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боравак туриста.</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6"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туристичке понуде 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w w:val="99"/>
                <w:highlight w:val="lightGray"/>
                <w:lang w:val="sr-Cyrl-RS"/>
              </w:rPr>
            </w:pPr>
            <w:r>
              <w:rPr>
                <w:rFonts w:ascii="Arial" w:hAnsi="Arial" w:eastAsia="Arial"/>
                <w:w w:val="99"/>
                <w:highlight w:val="lightGray"/>
                <w:lang w:val="sr-Cyrl-RS"/>
              </w:rPr>
              <w:t>Немају значајан утицај у</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Координација са</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успостављање имиџа,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доношењу одлука, али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пружаоцима услуга у</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организовање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изузетан у креирању</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туризму.</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манифестација које би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позитивног имиџа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задовољиле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2</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диверзификоване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lang w:val="sr-Cyrl-RS"/>
              </w:rPr>
              <w:t>потребе посетилаца</w:t>
            </w:r>
            <w:r>
              <w:rPr>
                <w:rFonts w:ascii="Arial" w:hAnsi="Arial" w:eastAsia="Arial"/>
                <w:b/>
                <w:lang w:val="sr-Cyrl-RS"/>
              </w:rPr>
              <w:t>,</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представљање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туристичке понуде на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lang w:val="sr-Cyrl-RS"/>
              </w:rPr>
            </w:pPr>
            <w:r>
              <w:rPr>
                <w:rFonts w:ascii="Arial" w:hAnsi="Arial" w:eastAsia="Arial"/>
                <w:lang w:val="sr-Cyrl-RS"/>
              </w:rPr>
              <w:t>специјализованим</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lang w:val="sr-Cyrl-RS"/>
              </w:rPr>
            </w:pPr>
            <w:r>
              <w:rPr>
                <w:rFonts w:ascii="Arial" w:hAnsi="Arial" w:eastAsia="Arial"/>
                <w:lang w:val="sr-Cyrl-RS"/>
              </w:rPr>
              <w:t>домаћим 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6"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lang w:val="sr-Cyrl-RS"/>
              </w:rPr>
            </w:pPr>
            <w:r>
              <w:rPr>
                <w:rFonts w:ascii="Arial" w:hAnsi="Arial" w:eastAsia="Arial"/>
                <w:lang w:val="sr-Cyrl-RS"/>
              </w:rPr>
              <w:t>међународним</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lang w:val="sr-Cyrl-RS"/>
              </w:rPr>
            </w:pPr>
            <w:r>
              <w:rPr>
                <w:rFonts w:ascii="Arial" w:hAnsi="Arial" w:eastAsia="Arial"/>
                <w:lang w:val="sr-Cyrl-RS"/>
              </w:rPr>
              <w:t>сајмовима и друго</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200" w:hRule="atLeast"/>
        </w:trPr>
        <w:tc>
          <w:tcPr>
            <w:tcW w:w="120" w:type="dxa"/>
            <w:tcBorders>
              <w:left w:val="single" w:color="auto" w:sz="8" w:space="0"/>
              <w:bottom w:val="single" w:color="auto" w:sz="8" w:space="0"/>
            </w:tcBorders>
            <w:shd w:val="clear" w:color="auto" w:fill="DDDDDD"/>
            <w:vAlign w:val="bottom"/>
          </w:tcPr>
          <w:p>
            <w:pPr>
              <w:spacing w:line="0" w:lineRule="atLeast"/>
              <w:rPr>
                <w:sz w:val="17"/>
                <w:lang w:val="sr-Cyrl-RS"/>
              </w:rPr>
            </w:pPr>
          </w:p>
        </w:tc>
        <w:tc>
          <w:tcPr>
            <w:tcW w:w="2840" w:type="dxa"/>
            <w:tcBorders>
              <w:bottom w:val="single" w:color="auto" w:sz="8" w:space="0"/>
            </w:tcBorders>
            <w:shd w:val="clear" w:color="auto" w:fill="DDDDDD"/>
            <w:vAlign w:val="bottom"/>
          </w:tcPr>
          <w:p>
            <w:pPr>
              <w:spacing w:line="0" w:lineRule="atLeast"/>
              <w:rPr>
                <w:sz w:val="17"/>
                <w:lang w:val="sr-Cyrl-RS"/>
              </w:rPr>
            </w:pPr>
          </w:p>
        </w:tc>
        <w:tc>
          <w:tcPr>
            <w:tcW w:w="120" w:type="dxa"/>
            <w:tcBorders>
              <w:bottom w:val="single" w:color="auto" w:sz="8" w:space="0"/>
              <w:right w:val="single" w:color="auto" w:sz="8" w:space="0"/>
            </w:tcBorders>
            <w:shd w:val="clear" w:color="auto" w:fill="DDDDDD"/>
            <w:vAlign w:val="bottom"/>
          </w:tcPr>
          <w:p>
            <w:pPr>
              <w:spacing w:line="0" w:lineRule="atLeast"/>
              <w:rPr>
                <w:sz w:val="17"/>
                <w:lang w:val="sr-Cyrl-RS"/>
              </w:rPr>
            </w:pPr>
          </w:p>
        </w:tc>
        <w:tc>
          <w:tcPr>
            <w:tcW w:w="100" w:type="dxa"/>
            <w:tcBorders>
              <w:bottom w:val="single" w:color="auto" w:sz="8" w:space="0"/>
            </w:tcBorders>
            <w:shd w:val="clear" w:color="auto" w:fill="DDDDDD"/>
            <w:vAlign w:val="bottom"/>
          </w:tcPr>
          <w:p>
            <w:pPr>
              <w:spacing w:line="0" w:lineRule="atLeast"/>
              <w:rPr>
                <w:sz w:val="17"/>
                <w:lang w:val="sr-Cyrl-RS"/>
              </w:rPr>
            </w:pPr>
          </w:p>
        </w:tc>
        <w:tc>
          <w:tcPr>
            <w:tcW w:w="2760" w:type="dxa"/>
            <w:tcBorders>
              <w:bottom w:val="single" w:color="auto" w:sz="8" w:space="0"/>
            </w:tcBorders>
            <w:shd w:val="clear" w:color="auto" w:fill="DDDDDD"/>
            <w:vAlign w:val="bottom"/>
          </w:tcPr>
          <w:p>
            <w:pPr>
              <w:spacing w:line="0" w:lineRule="atLeast"/>
              <w:rPr>
                <w:sz w:val="17"/>
                <w:lang w:val="sr-Cyrl-RS"/>
              </w:rPr>
            </w:pPr>
          </w:p>
        </w:tc>
        <w:tc>
          <w:tcPr>
            <w:tcW w:w="120" w:type="dxa"/>
            <w:tcBorders>
              <w:bottom w:val="single" w:color="auto" w:sz="8" w:space="0"/>
              <w:right w:val="single" w:color="auto" w:sz="8" w:space="0"/>
            </w:tcBorders>
            <w:shd w:val="clear" w:color="auto" w:fill="DDDDDD"/>
            <w:vAlign w:val="bottom"/>
          </w:tcPr>
          <w:p>
            <w:pPr>
              <w:spacing w:line="0" w:lineRule="atLeast"/>
              <w:rPr>
                <w:sz w:val="17"/>
                <w:lang w:val="sr-Cyrl-RS"/>
              </w:rPr>
            </w:pPr>
          </w:p>
        </w:tc>
        <w:tc>
          <w:tcPr>
            <w:tcW w:w="100" w:type="dxa"/>
            <w:tcBorders>
              <w:bottom w:val="single" w:color="auto" w:sz="8" w:space="0"/>
            </w:tcBorders>
            <w:shd w:val="clear" w:color="auto" w:fill="DDDDDD"/>
            <w:vAlign w:val="bottom"/>
          </w:tcPr>
          <w:p>
            <w:pPr>
              <w:spacing w:line="0" w:lineRule="atLeast"/>
              <w:rPr>
                <w:sz w:val="17"/>
                <w:lang w:val="sr-Cyrl-RS"/>
              </w:rPr>
            </w:pPr>
          </w:p>
        </w:tc>
        <w:tc>
          <w:tcPr>
            <w:tcW w:w="3100" w:type="dxa"/>
            <w:tcBorders>
              <w:bottom w:val="single" w:color="auto" w:sz="8" w:space="0"/>
            </w:tcBorders>
            <w:shd w:val="clear" w:color="auto" w:fill="DDDDDD"/>
            <w:vAlign w:val="bottom"/>
          </w:tcPr>
          <w:p>
            <w:pPr>
              <w:spacing w:line="0" w:lineRule="atLeast"/>
              <w:rPr>
                <w:sz w:val="17"/>
                <w:lang w:val="sr-Cyrl-RS"/>
              </w:rPr>
            </w:pPr>
          </w:p>
        </w:tc>
        <w:tc>
          <w:tcPr>
            <w:tcW w:w="120" w:type="dxa"/>
            <w:tcBorders>
              <w:bottom w:val="single" w:color="auto" w:sz="8" w:space="0"/>
              <w:right w:val="single" w:color="auto" w:sz="8" w:space="0"/>
            </w:tcBorders>
            <w:shd w:val="clear" w:color="auto" w:fill="DDDDDD"/>
            <w:vAlign w:val="bottom"/>
          </w:tcPr>
          <w:p>
            <w:pPr>
              <w:spacing w:line="0" w:lineRule="atLeast"/>
              <w:rPr>
                <w:sz w:val="17"/>
                <w:lang w:val="sr-Cyrl-RS"/>
              </w:rPr>
            </w:pPr>
          </w:p>
        </w:tc>
      </w:tr>
      <w:tr>
        <w:tblPrEx>
          <w:tblCellMar>
            <w:top w:w="0" w:type="dxa"/>
            <w:left w:w="0" w:type="dxa"/>
            <w:bottom w:w="0" w:type="dxa"/>
            <w:right w:w="0" w:type="dxa"/>
          </w:tblCellMar>
        </w:tblPrEx>
        <w:trPr>
          <w:trHeight w:val="275" w:hRule="atLeast"/>
        </w:trPr>
        <w:tc>
          <w:tcPr>
            <w:tcW w:w="120" w:type="dxa"/>
            <w:tcBorders>
              <w:left w:val="single" w:color="auto" w:sz="8" w:space="0"/>
            </w:tcBorders>
            <w:shd w:val="clear" w:color="auto" w:fill="auto"/>
            <w:vAlign w:val="bottom"/>
          </w:tcPr>
          <w:p>
            <w:pPr>
              <w:spacing w:line="0" w:lineRule="atLeast"/>
              <w:rPr>
                <w:sz w:val="23"/>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12.Туристичке агенције</w:t>
            </w:r>
          </w:p>
        </w:tc>
        <w:tc>
          <w:tcPr>
            <w:tcW w:w="100" w:type="dxa"/>
            <w:shd w:val="clear" w:color="auto" w:fill="auto"/>
            <w:vAlign w:val="bottom"/>
          </w:tcPr>
          <w:p>
            <w:pPr>
              <w:spacing w:line="0" w:lineRule="atLeast"/>
              <w:rPr>
                <w:sz w:val="23"/>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Повећање туристичког промета</w:t>
            </w:r>
          </w:p>
        </w:tc>
        <w:tc>
          <w:tcPr>
            <w:tcW w:w="100" w:type="dxa"/>
            <w:shd w:val="clear" w:color="auto" w:fill="auto"/>
            <w:vAlign w:val="bottom"/>
          </w:tcPr>
          <w:p>
            <w:pPr>
              <w:spacing w:line="0" w:lineRule="atLeast"/>
              <w:rPr>
                <w:sz w:val="23"/>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Креирањем и</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 повећање</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дистрибуцијом</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прихода од туризма.</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квалитетних садржаја</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Тренутно не виде</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туристима постиже се продужење боравка туриста на дестинацији.</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дестинацију као такву,</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Тренутно није</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па је интерес слабији од</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успостављена адекватна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оног што би требао да</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сарадња са туристичким</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буде.</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агенцијама, тако да није</w:t>
            </w:r>
          </w:p>
        </w:tc>
      </w:tr>
      <w:tr>
        <w:tblPrEx>
          <w:tblCellMar>
            <w:top w:w="0" w:type="dxa"/>
            <w:left w:w="0" w:type="dxa"/>
            <w:bottom w:w="0" w:type="dxa"/>
            <w:right w:w="0" w:type="dxa"/>
          </w:tblCellMar>
        </w:tblPrEx>
        <w:trPr>
          <w:trHeight w:val="316"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3</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висок степен подршке, али</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Као учесници у</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постоји изузетан</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туристичкој понуди</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потенцијал за</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имају утицај у креирању</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успостављање сарадње.</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 пружању квалитетних</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садржаја, али немају</w:t>
            </w:r>
          </w:p>
        </w:tc>
        <w:tc>
          <w:tcPr>
            <w:tcW w:w="100" w:type="dxa"/>
            <w:shd w:val="clear" w:color="auto" w:fill="auto"/>
            <w:vAlign w:val="bottom"/>
          </w:tcPr>
          <w:p>
            <w:pPr>
              <w:spacing w:line="0" w:lineRule="atLeast"/>
              <w:rPr>
                <w:lang w:val="sr-Cyrl-RS"/>
              </w:rPr>
            </w:pPr>
          </w:p>
        </w:tc>
        <w:tc>
          <w:tcPr>
            <w:tcW w:w="322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0</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утицај на саму реализацију акционих планова на туристичкој дестинацији Гаџин Хан.</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840" w:type="dxa"/>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2760" w:type="dxa"/>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3200" w:type="dxa"/>
            <w:gridSpan w:val="2"/>
            <w:tcBorders>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gridAfter w:val="3"/>
          <w:wAfter w:w="3320" w:type="dxa"/>
          <w:trHeight w:val="390" w:hRule="atLeast"/>
        </w:trPr>
        <w:tc>
          <w:tcPr>
            <w:tcW w:w="120" w:type="dxa"/>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760" w:type="dxa"/>
            <w:shd w:val="clear" w:color="auto" w:fill="auto"/>
            <w:vAlign w:val="bottom"/>
          </w:tcPr>
          <w:p>
            <w:pPr>
              <w:spacing w:line="0" w:lineRule="atLeast"/>
              <w:rPr>
                <w:lang w:val="sr-Cyrl-RS"/>
              </w:rPr>
            </w:pPr>
          </w:p>
        </w:tc>
        <w:tc>
          <w:tcPr>
            <w:tcW w:w="120" w:type="dxa"/>
            <w:shd w:val="clear" w:color="auto" w:fill="auto"/>
            <w:vAlign w:val="bottom"/>
          </w:tcPr>
          <w:p>
            <w:pPr>
              <w:spacing w:line="0" w:lineRule="atLeast"/>
              <w:rPr>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00" w:lineRule="exact"/>
        <w:rPr>
          <w:lang w:val="sr-Cyrl-RS"/>
        </w:rPr>
      </w:pPr>
      <w:bookmarkStart w:id="76" w:name="page37"/>
      <w:bookmarkEnd w:id="76"/>
    </w:p>
    <w:p>
      <w:pPr>
        <w:spacing w:line="283" w:lineRule="exact"/>
        <w:rPr>
          <w:lang w:val="sr-Cyrl-RS"/>
        </w:rPr>
      </w:pPr>
    </w:p>
    <w:tbl>
      <w:tblPr>
        <w:tblStyle w:val="6"/>
        <w:tblW w:w="0" w:type="auto"/>
        <w:tblInd w:w="10" w:type="dxa"/>
        <w:tblLayout w:type="fixed"/>
        <w:tblCellMar>
          <w:top w:w="0" w:type="dxa"/>
          <w:left w:w="0" w:type="dxa"/>
          <w:bottom w:w="0" w:type="dxa"/>
          <w:right w:w="0" w:type="dxa"/>
        </w:tblCellMar>
      </w:tblPr>
      <w:tblGrid>
        <w:gridCol w:w="120"/>
        <w:gridCol w:w="2840"/>
        <w:gridCol w:w="120"/>
        <w:gridCol w:w="100"/>
        <w:gridCol w:w="2760"/>
        <w:gridCol w:w="120"/>
        <w:gridCol w:w="100"/>
        <w:gridCol w:w="3100"/>
        <w:gridCol w:w="120"/>
      </w:tblGrid>
      <w:tr>
        <w:tblPrEx>
          <w:tblCellMar>
            <w:top w:w="0" w:type="dxa"/>
            <w:left w:w="0" w:type="dxa"/>
            <w:bottom w:w="0" w:type="dxa"/>
            <w:right w:w="0" w:type="dxa"/>
          </w:tblCellMar>
        </w:tblPrEx>
        <w:trPr>
          <w:trHeight w:val="295" w:hRule="atLeast"/>
        </w:trPr>
        <w:tc>
          <w:tcPr>
            <w:tcW w:w="120" w:type="dxa"/>
            <w:tcBorders>
              <w:top w:val="single" w:color="auto" w:sz="8" w:space="0"/>
              <w:left w:val="single" w:color="auto" w:sz="8" w:space="0"/>
            </w:tcBorders>
            <w:shd w:val="clear" w:color="auto" w:fill="DDDDDD"/>
            <w:vAlign w:val="bottom"/>
          </w:tcPr>
          <w:p>
            <w:pPr>
              <w:spacing w:line="0" w:lineRule="atLeast"/>
              <w:rPr>
                <w:lang w:val="sr-Cyrl-RS"/>
              </w:rPr>
            </w:pPr>
          </w:p>
        </w:tc>
        <w:tc>
          <w:tcPr>
            <w:tcW w:w="2840" w:type="dxa"/>
            <w:tcBorders>
              <w:top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13.Народна</w:t>
            </w:r>
          </w:p>
        </w:tc>
        <w:tc>
          <w:tcPr>
            <w:tcW w:w="120" w:type="dxa"/>
            <w:tcBorders>
              <w:top w:val="single" w:color="auto" w:sz="8" w:space="0"/>
              <w:right w:val="single" w:color="auto" w:sz="8" w:space="0"/>
            </w:tcBorders>
            <w:shd w:val="clear" w:color="auto" w:fill="DDDDDD"/>
            <w:vAlign w:val="bottom"/>
          </w:tcPr>
          <w:p>
            <w:pPr>
              <w:spacing w:line="0" w:lineRule="atLeast"/>
              <w:rPr>
                <w:lang w:val="sr-Cyrl-RS"/>
              </w:rPr>
            </w:pPr>
          </w:p>
        </w:tc>
        <w:tc>
          <w:tcPr>
            <w:tcW w:w="100" w:type="dxa"/>
            <w:tcBorders>
              <w:top w:val="single" w:color="auto" w:sz="8" w:space="0"/>
            </w:tcBorders>
            <w:shd w:val="clear" w:color="auto" w:fill="DDDDDD"/>
            <w:vAlign w:val="bottom"/>
          </w:tcPr>
          <w:p>
            <w:pPr>
              <w:spacing w:line="0" w:lineRule="atLeast"/>
              <w:rPr>
                <w:lang w:val="sr-Cyrl-RS"/>
              </w:rPr>
            </w:pPr>
          </w:p>
        </w:tc>
        <w:tc>
          <w:tcPr>
            <w:tcW w:w="2760" w:type="dxa"/>
            <w:tcBorders>
              <w:top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Промоција културних</w:t>
            </w:r>
          </w:p>
        </w:tc>
        <w:tc>
          <w:tcPr>
            <w:tcW w:w="120" w:type="dxa"/>
            <w:tcBorders>
              <w:top w:val="single" w:color="auto" w:sz="8" w:space="0"/>
              <w:right w:val="single" w:color="auto" w:sz="8" w:space="0"/>
            </w:tcBorders>
            <w:shd w:val="clear" w:color="auto" w:fill="DDDDDD"/>
            <w:vAlign w:val="bottom"/>
          </w:tcPr>
          <w:p>
            <w:pPr>
              <w:spacing w:line="0" w:lineRule="atLeast"/>
              <w:rPr>
                <w:lang w:val="sr-Cyrl-RS"/>
              </w:rPr>
            </w:pPr>
          </w:p>
        </w:tc>
        <w:tc>
          <w:tcPr>
            <w:tcW w:w="100" w:type="dxa"/>
            <w:tcBorders>
              <w:top w:val="single" w:color="auto" w:sz="8" w:space="0"/>
            </w:tcBorders>
            <w:shd w:val="clear" w:color="auto" w:fill="DDDDDD"/>
            <w:vAlign w:val="bottom"/>
          </w:tcPr>
          <w:p>
            <w:pPr>
              <w:spacing w:line="0" w:lineRule="atLeast"/>
              <w:rPr>
                <w:lang w:val="sr-Cyrl-RS"/>
              </w:rPr>
            </w:pPr>
          </w:p>
        </w:tc>
        <w:tc>
          <w:tcPr>
            <w:tcW w:w="3100" w:type="dxa"/>
            <w:tcBorders>
              <w:top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Подршка се огледа у</w:t>
            </w:r>
          </w:p>
        </w:tc>
        <w:tc>
          <w:tcPr>
            <w:tcW w:w="120" w:type="dxa"/>
            <w:tcBorders>
              <w:top w:val="single" w:color="auto"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библиотека „Бранко</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вредности општине.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повећању садржајности и</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Миљковић“, Гаџин</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Повећање броја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квалитета туристичке</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Хан</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културних догађаја.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понуде.</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Формирана је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Као учесници у</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спајањем Општинске</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туристичкој понуди</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библиотеке „Бранко</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имају утицај у креирању</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1</w:t>
            </w: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Миљковић“ и Дома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и пружању квалитетних</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културе „Бранко</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1"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садржаја, али немају директан утицај на повећање туристичког промета.</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restart"/>
            <w:shd w:val="clear" w:color="auto" w:fill="DDDDDD"/>
            <w:vAlign w:val="bottom"/>
          </w:tcPr>
          <w:p>
            <w:pPr>
              <w:spacing w:line="0" w:lineRule="atLeast"/>
              <w:rPr>
                <w:rFonts w:ascii="Arial" w:hAnsi="Arial" w:eastAsia="Arial"/>
                <w:lang w:val="sr-Cyrl-RS"/>
              </w:rPr>
            </w:pPr>
            <w:r>
              <w:rPr>
                <w:rFonts w:ascii="Arial" w:hAnsi="Arial" w:eastAsia="Arial"/>
                <w:lang w:val="sr-Cyrl-RS"/>
              </w:rPr>
              <w:t>Миљковић“.</w:t>
            </w: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restart"/>
            <w:shd w:val="clear" w:color="auto" w:fill="DDDDDD"/>
            <w:vAlign w:val="bottom"/>
          </w:tcPr>
          <w:p>
            <w:pPr>
              <w:spacing w:line="0" w:lineRule="atLeast"/>
              <w:rPr>
                <w:rFonts w:ascii="Arial" w:hAnsi="Arial" w:eastAsia="Arial"/>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DDDDDD"/>
            <w:vAlign w:val="bottom"/>
          </w:tcPr>
          <w:p>
            <w:pPr>
              <w:spacing w:line="0" w:lineRule="atLeast"/>
              <w:rPr>
                <w:sz w:val="13"/>
                <w:lang w:val="sr-Cyrl-RS"/>
              </w:rPr>
            </w:pPr>
          </w:p>
        </w:tc>
        <w:tc>
          <w:tcPr>
            <w:tcW w:w="284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2760" w:type="dxa"/>
            <w:vMerge w:val="continue"/>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c>
          <w:tcPr>
            <w:tcW w:w="100" w:type="dxa"/>
            <w:shd w:val="clear" w:color="auto" w:fill="DDDDDD"/>
            <w:vAlign w:val="bottom"/>
          </w:tcPr>
          <w:p>
            <w:pPr>
              <w:spacing w:line="0" w:lineRule="atLeast"/>
              <w:rPr>
                <w:sz w:val="13"/>
                <w:lang w:val="sr-Cyrl-RS"/>
              </w:rPr>
            </w:pPr>
          </w:p>
        </w:tc>
        <w:tc>
          <w:tcPr>
            <w:tcW w:w="3100" w:type="dxa"/>
            <w:shd w:val="clear" w:color="auto" w:fill="DDDDDD"/>
            <w:vAlign w:val="bottom"/>
          </w:tcPr>
          <w:p>
            <w:pPr>
              <w:spacing w:line="0" w:lineRule="atLeast"/>
              <w:rPr>
                <w:sz w:val="13"/>
                <w:lang w:val="sr-Cyrl-RS"/>
              </w:rPr>
            </w:pPr>
          </w:p>
        </w:tc>
        <w:tc>
          <w:tcPr>
            <w:tcW w:w="120" w:type="dxa"/>
            <w:tcBorders>
              <w:right w:val="single" w:color="auto" w:sz="8" w:space="0"/>
            </w:tcBorders>
            <w:shd w:val="clear" w:color="auto" w:fill="DDDDDD"/>
            <w:vAlign w:val="bottom"/>
          </w:tcPr>
          <w:p>
            <w:pPr>
              <w:spacing w:line="0" w:lineRule="atLeast"/>
              <w:rPr>
                <w:sz w:val="13"/>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DDDDD" w:sz="8" w:space="0"/>
            </w:tcBorders>
            <w:shd w:val="clear" w:color="auto" w:fill="DDDDDD"/>
            <w:vAlign w:val="bottom"/>
          </w:tcPr>
          <w:p>
            <w:pPr>
              <w:spacing w:line="0" w:lineRule="atLeast"/>
              <w:rPr>
                <w:lang w:val="sr-Cyrl-RS"/>
              </w:rPr>
            </w:pPr>
          </w:p>
        </w:tc>
        <w:tc>
          <w:tcPr>
            <w:tcW w:w="284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2760" w:type="dxa"/>
            <w:tcBorders>
              <w:bottom w:val="single" w:color="DDDDDD"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310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top w:val="single" w:color="auto" w:sz="8" w:space="0"/>
              <w:bottom w:val="single" w:color="auto" w:sz="8" w:space="0"/>
            </w:tcBorders>
            <w:shd w:val="clear" w:color="auto" w:fill="auto"/>
            <w:vAlign w:val="bottom"/>
          </w:tcPr>
          <w:p>
            <w:pPr>
              <w:spacing w:line="0" w:lineRule="atLeast"/>
              <w:rPr>
                <w:lang w:val="sr-Cyrl-RS"/>
              </w:rPr>
            </w:pPr>
          </w:p>
        </w:tc>
        <w:tc>
          <w:tcPr>
            <w:tcW w:w="2960" w:type="dxa"/>
            <w:gridSpan w:val="2"/>
            <w:tcBorders>
              <w:top w:val="single" w:color="auto" w:sz="8" w:space="0"/>
              <w:bottom w:val="single" w:color="auto" w:sz="8" w:space="0"/>
            </w:tcBorders>
            <w:shd w:val="clear" w:color="auto" w:fill="auto"/>
            <w:vAlign w:val="bottom"/>
          </w:tcPr>
          <w:p>
            <w:pPr>
              <w:spacing w:line="0" w:lineRule="atLeast"/>
              <w:rPr>
                <w:lang w:val="sr-Cyrl-RS"/>
              </w:rPr>
            </w:pPr>
          </w:p>
        </w:tc>
        <w:tc>
          <w:tcPr>
            <w:tcW w:w="100" w:type="dxa"/>
            <w:tcBorders>
              <w:top w:val="single" w:color="auto" w:sz="8" w:space="0"/>
              <w:bottom w:val="single" w:color="auto" w:sz="8" w:space="0"/>
            </w:tcBorders>
            <w:shd w:val="clear" w:color="auto" w:fill="auto"/>
            <w:vAlign w:val="bottom"/>
          </w:tcPr>
          <w:p>
            <w:pPr>
              <w:spacing w:line="0" w:lineRule="atLeast"/>
              <w:rPr>
                <w:lang w:val="sr-Cyrl-RS"/>
              </w:rPr>
            </w:pPr>
          </w:p>
        </w:tc>
        <w:tc>
          <w:tcPr>
            <w:tcW w:w="2880" w:type="dxa"/>
            <w:gridSpan w:val="2"/>
            <w:tcBorders>
              <w:top w:val="single" w:color="auto" w:sz="8" w:space="0"/>
              <w:bottom w:val="single" w:color="auto" w:sz="8" w:space="0"/>
            </w:tcBorders>
            <w:shd w:val="clear" w:color="auto" w:fill="auto"/>
            <w:vAlign w:val="bottom"/>
          </w:tcPr>
          <w:p>
            <w:pPr>
              <w:spacing w:line="0" w:lineRule="atLeast"/>
              <w:rPr>
                <w:lang w:val="sr-Cyrl-RS"/>
              </w:rPr>
            </w:pPr>
          </w:p>
        </w:tc>
        <w:tc>
          <w:tcPr>
            <w:tcW w:w="100" w:type="dxa"/>
            <w:tcBorders>
              <w:top w:val="single" w:color="auto" w:sz="8" w:space="0"/>
              <w:bottom w:val="single" w:color="auto" w:sz="8" w:space="0"/>
            </w:tcBorders>
            <w:shd w:val="clear" w:color="auto" w:fill="auto"/>
            <w:vAlign w:val="bottom"/>
          </w:tcPr>
          <w:p>
            <w:pPr>
              <w:spacing w:line="0" w:lineRule="atLeast"/>
              <w:rPr>
                <w:lang w:val="sr-Cyrl-RS"/>
              </w:rPr>
            </w:pPr>
          </w:p>
        </w:tc>
        <w:tc>
          <w:tcPr>
            <w:tcW w:w="3200" w:type="dxa"/>
            <w:gridSpan w:val="2"/>
            <w:tcBorders>
              <w:top w:val="single" w:color="auto" w:sz="8" w:space="0"/>
              <w:bottom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120" w:type="dxa"/>
            <w:tcBorders>
              <w:left w:val="single" w:color="auto" w:sz="8" w:space="0"/>
            </w:tcBorders>
            <w:shd w:val="clear" w:color="auto" w:fill="auto"/>
            <w:vAlign w:val="bottom"/>
          </w:tcPr>
          <w:p>
            <w:pPr>
              <w:spacing w:line="0" w:lineRule="atLeast"/>
              <w:rPr>
                <w:sz w:val="23"/>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14.Удружења</w:t>
            </w:r>
          </w:p>
        </w:tc>
        <w:tc>
          <w:tcPr>
            <w:tcW w:w="100" w:type="dxa"/>
            <w:shd w:val="clear" w:color="auto" w:fill="auto"/>
            <w:vAlign w:val="bottom"/>
          </w:tcPr>
          <w:p>
            <w:pPr>
              <w:spacing w:line="0" w:lineRule="atLeast"/>
              <w:rPr>
                <w:sz w:val="23"/>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Повећање туристичког промета.</w:t>
            </w:r>
          </w:p>
        </w:tc>
        <w:tc>
          <w:tcPr>
            <w:tcW w:w="100" w:type="dxa"/>
            <w:shd w:val="clear" w:color="auto" w:fill="auto"/>
            <w:vAlign w:val="bottom"/>
          </w:tcPr>
          <w:p>
            <w:pPr>
              <w:spacing w:line="0" w:lineRule="atLeast"/>
              <w:rPr>
                <w:sz w:val="23"/>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Подршка у креирању</w:t>
            </w: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туристичких водича</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p>
        </w:tc>
        <w:tc>
          <w:tcPr>
            <w:tcW w:w="100" w:type="dxa"/>
            <w:shd w:val="clear" w:color="auto" w:fill="auto"/>
            <w:vAlign w:val="bottom"/>
          </w:tcPr>
          <w:p>
            <w:pPr>
              <w:spacing w:line="0" w:lineRule="atLeast"/>
              <w:rPr>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позитивног имиџа</w:t>
            </w: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Окупљају</w:t>
            </w: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Унапређење</w:t>
            </w:r>
          </w:p>
        </w:tc>
        <w:tc>
          <w:tcPr>
            <w:tcW w:w="100" w:type="dxa"/>
            <w:shd w:val="clear" w:color="auto" w:fill="auto"/>
            <w:vAlign w:val="bottom"/>
          </w:tcPr>
          <w:p>
            <w:pPr>
              <w:spacing w:line="0" w:lineRule="atLeast"/>
              <w:rPr>
                <w:lang w:val="sr-Cyrl-RS"/>
              </w:rPr>
            </w:pPr>
          </w:p>
        </w:tc>
        <w:tc>
          <w:tcPr>
            <w:tcW w:w="320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дестинације кроз</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интерпретације</w:t>
            </w:r>
          </w:p>
        </w:tc>
        <w:tc>
          <w:tcPr>
            <w:tcW w:w="100" w:type="dxa"/>
            <w:shd w:val="clear" w:color="auto" w:fill="auto"/>
            <w:vAlign w:val="bottom"/>
          </w:tcPr>
          <w:p>
            <w:pPr>
              <w:spacing w:line="0" w:lineRule="atLeast"/>
              <w:rPr>
                <w:sz w:val="13"/>
                <w:lang w:val="sr-Cyrl-RS"/>
              </w:rPr>
            </w:pPr>
          </w:p>
        </w:tc>
        <w:tc>
          <w:tcPr>
            <w:tcW w:w="320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интерпретацију туристичке</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професионалне</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00" w:type="dxa"/>
            <w:gridSpan w:val="2"/>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туристичке понуде.</w:t>
            </w:r>
          </w:p>
        </w:tc>
        <w:tc>
          <w:tcPr>
            <w:tcW w:w="100" w:type="dxa"/>
            <w:shd w:val="clear" w:color="auto" w:fill="auto"/>
            <w:vAlign w:val="bottom"/>
          </w:tcPr>
          <w:p>
            <w:pPr>
              <w:spacing w:line="0" w:lineRule="atLeast"/>
              <w:rPr>
                <w:sz w:val="13"/>
                <w:lang w:val="sr-Cyrl-RS"/>
              </w:rPr>
            </w:pPr>
          </w:p>
        </w:tc>
        <w:tc>
          <w:tcPr>
            <w:tcW w:w="320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понуде.</w:t>
            </w: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туристичке водиче.</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00" w:type="dxa"/>
            <w:gridSpan w:val="2"/>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00" w:type="dxa"/>
            <w:shd w:val="clear" w:color="auto" w:fill="auto"/>
            <w:vAlign w:val="bottom"/>
          </w:tcPr>
          <w:p>
            <w:pPr>
              <w:spacing w:line="0" w:lineRule="atLeast"/>
              <w:rPr>
                <w:sz w:val="13"/>
                <w:lang w:val="sr-Cyrl-RS"/>
              </w:rPr>
            </w:pPr>
          </w:p>
        </w:tc>
        <w:tc>
          <w:tcPr>
            <w:tcW w:w="320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Који говоре на више</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200" w:type="dxa"/>
            <w:gridSpan w:val="2"/>
            <w:vMerge w:val="continue"/>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светских језика и</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стоје на располагању</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Њихов</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домаћим и страним</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утицај у перспективи</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посетиоцима спремни</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може да буде на имиџ</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да им на најбољи начин</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дестинације кроз</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представе свој град,</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1"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адекватну</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регију и земљу.</w:t>
            </w: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60"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96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restart"/>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интерпретацију</w:t>
            </w: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155" w:hRule="atLeast"/>
        </w:trPr>
        <w:tc>
          <w:tcPr>
            <w:tcW w:w="120" w:type="dxa"/>
            <w:tcBorders>
              <w:left w:val="single" w:color="auto" w:sz="8" w:space="0"/>
            </w:tcBorders>
            <w:shd w:val="clear" w:color="auto" w:fill="auto"/>
            <w:vAlign w:val="bottom"/>
          </w:tcPr>
          <w:p>
            <w:pPr>
              <w:spacing w:line="0" w:lineRule="atLeast"/>
              <w:rPr>
                <w:sz w:val="13"/>
                <w:lang w:val="sr-Cyrl-RS"/>
              </w:rPr>
            </w:pPr>
          </w:p>
        </w:tc>
        <w:tc>
          <w:tcPr>
            <w:tcW w:w="284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2880" w:type="dxa"/>
            <w:gridSpan w:val="2"/>
            <w:vMerge w:val="continue"/>
            <w:tcBorders>
              <w:right w:val="single" w:color="auto" w:sz="8" w:space="0"/>
            </w:tcBorders>
            <w:shd w:val="clear" w:color="auto" w:fill="auto"/>
            <w:vAlign w:val="bottom"/>
          </w:tcPr>
          <w:p>
            <w:pPr>
              <w:spacing w:line="0" w:lineRule="atLeast"/>
              <w:rPr>
                <w:sz w:val="13"/>
                <w:lang w:val="sr-Cyrl-RS"/>
              </w:rPr>
            </w:pPr>
          </w:p>
        </w:tc>
        <w:tc>
          <w:tcPr>
            <w:tcW w:w="100" w:type="dxa"/>
            <w:shd w:val="clear" w:color="auto" w:fill="auto"/>
            <w:vAlign w:val="bottom"/>
          </w:tcPr>
          <w:p>
            <w:pPr>
              <w:spacing w:line="0" w:lineRule="atLeast"/>
              <w:rPr>
                <w:sz w:val="13"/>
                <w:lang w:val="sr-Cyrl-RS"/>
              </w:rPr>
            </w:pPr>
          </w:p>
        </w:tc>
        <w:tc>
          <w:tcPr>
            <w:tcW w:w="3100" w:type="dxa"/>
            <w:shd w:val="clear" w:color="auto" w:fill="auto"/>
            <w:vAlign w:val="bottom"/>
          </w:tcPr>
          <w:p>
            <w:pPr>
              <w:spacing w:line="0" w:lineRule="atLeast"/>
              <w:rPr>
                <w:sz w:val="13"/>
                <w:lang w:val="sr-Cyrl-RS"/>
              </w:rPr>
            </w:pPr>
          </w:p>
        </w:tc>
        <w:tc>
          <w:tcPr>
            <w:tcW w:w="120" w:type="dxa"/>
            <w:tcBorders>
              <w:right w:val="single" w:color="auto" w:sz="8" w:space="0"/>
            </w:tcBorders>
            <w:shd w:val="clear" w:color="auto" w:fill="auto"/>
            <w:vAlign w:val="bottom"/>
          </w:tcPr>
          <w:p>
            <w:pPr>
              <w:spacing w:line="0" w:lineRule="atLeast"/>
              <w:rPr>
                <w:sz w:val="13"/>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дестинације.</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shd w:val="clear" w:color="auto" w:fill="auto"/>
            <w:vAlign w:val="bottom"/>
          </w:tcPr>
          <w:p>
            <w:pPr>
              <w:spacing w:line="0" w:lineRule="atLeast"/>
              <w:rPr>
                <w:lang w:val="sr-Cyrl-RS"/>
              </w:rPr>
            </w:pPr>
          </w:p>
        </w:tc>
        <w:tc>
          <w:tcPr>
            <w:tcW w:w="2880" w:type="dxa"/>
            <w:gridSpan w:val="2"/>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3</w:t>
            </w:r>
          </w:p>
        </w:tc>
        <w:tc>
          <w:tcPr>
            <w:tcW w:w="100" w:type="dxa"/>
            <w:shd w:val="clear" w:color="auto" w:fill="auto"/>
            <w:vAlign w:val="bottom"/>
          </w:tcPr>
          <w:p>
            <w:pPr>
              <w:spacing w:line="0" w:lineRule="atLeast"/>
              <w:rPr>
                <w:lang w:val="sr-Cyrl-RS"/>
              </w:rPr>
            </w:pPr>
          </w:p>
        </w:tc>
        <w:tc>
          <w:tcPr>
            <w:tcW w:w="310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12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2960" w:type="dxa"/>
            <w:gridSpan w:val="2"/>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2880" w:type="dxa"/>
            <w:gridSpan w:val="2"/>
            <w:tcBorders>
              <w:bottom w:val="single" w:color="auto" w:sz="8" w:space="0"/>
              <w:right w:val="single" w:color="auto" w:sz="8" w:space="0"/>
            </w:tcBorders>
            <w:shd w:val="clear" w:color="auto" w:fill="auto"/>
            <w:vAlign w:val="bottom"/>
          </w:tcPr>
          <w:p>
            <w:pPr>
              <w:spacing w:line="0" w:lineRule="atLeast"/>
              <w:rPr>
                <w:sz w:val="3"/>
                <w:lang w:val="sr-Cyrl-RS"/>
              </w:rPr>
            </w:pPr>
          </w:p>
        </w:tc>
        <w:tc>
          <w:tcPr>
            <w:tcW w:w="100" w:type="dxa"/>
            <w:tcBorders>
              <w:bottom w:val="single" w:color="auto" w:sz="8" w:space="0"/>
            </w:tcBorders>
            <w:shd w:val="clear" w:color="auto" w:fill="auto"/>
            <w:vAlign w:val="bottom"/>
          </w:tcPr>
          <w:p>
            <w:pPr>
              <w:spacing w:line="0" w:lineRule="atLeast"/>
              <w:rPr>
                <w:sz w:val="3"/>
                <w:lang w:val="sr-Cyrl-RS"/>
              </w:rPr>
            </w:pPr>
          </w:p>
        </w:tc>
        <w:tc>
          <w:tcPr>
            <w:tcW w:w="3200" w:type="dxa"/>
            <w:gridSpan w:val="2"/>
            <w:tcBorders>
              <w:bottom w:val="single" w:color="auto" w:sz="8" w:space="0"/>
              <w:right w:val="single" w:color="auto" w:sz="8" w:space="0"/>
            </w:tcBorders>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trHeight w:val="275" w:hRule="atLeast"/>
        </w:trPr>
        <w:tc>
          <w:tcPr>
            <w:tcW w:w="120" w:type="dxa"/>
            <w:tcBorders>
              <w:left w:val="single" w:color="auto" w:sz="8" w:space="0"/>
            </w:tcBorders>
            <w:shd w:val="clear" w:color="auto" w:fill="DDDDDD"/>
            <w:vAlign w:val="bottom"/>
          </w:tcPr>
          <w:p>
            <w:pPr>
              <w:spacing w:line="0" w:lineRule="atLeast"/>
              <w:rPr>
                <w:sz w:val="23"/>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15.Произвођачи меда,</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100" w:type="dxa"/>
            <w:shd w:val="clear" w:color="auto" w:fill="DDDDDD"/>
            <w:vAlign w:val="bottom"/>
          </w:tcPr>
          <w:p>
            <w:pPr>
              <w:spacing w:line="0" w:lineRule="atLeast"/>
              <w:rPr>
                <w:sz w:val="23"/>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 xml:space="preserve">Повећање </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100" w:type="dxa"/>
            <w:shd w:val="clear" w:color="auto" w:fill="DDDDDD"/>
            <w:vAlign w:val="bottom"/>
          </w:tcPr>
          <w:p>
            <w:pPr>
              <w:spacing w:line="0" w:lineRule="atLeast"/>
              <w:rPr>
                <w:sz w:val="23"/>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Креирањем и пружањем</w:t>
            </w:r>
          </w:p>
        </w:tc>
        <w:tc>
          <w:tcPr>
            <w:tcW w:w="120" w:type="dxa"/>
            <w:tcBorders>
              <w:right w:val="single" w:color="auto" w:sz="8" w:space="0"/>
            </w:tcBorders>
            <w:shd w:val="clear" w:color="auto" w:fill="DDDDDD"/>
            <w:vAlign w:val="bottom"/>
          </w:tcPr>
          <w:p>
            <w:pPr>
              <w:spacing w:line="0" w:lineRule="atLeast"/>
              <w:rPr>
                <w:sz w:val="2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вина, рукотворина 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 xml:space="preserve"> Повећање туристичког</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квалитетних услуга</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других типичних</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промета.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туристима постиже се позитиван утицај на туристе, као и на стварање позитивног имиџа туристичке дестинације руралног туризма.</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производа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дестинације Сува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Немају утицај на</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rFonts w:ascii="Arial" w:hAnsi="Arial" w:eastAsia="Arial"/>
                <w:b/>
                <w:lang w:val="sr-Cyrl-RS"/>
              </w:rPr>
            </w:pPr>
            <w:r>
              <w:rPr>
                <w:rFonts w:ascii="Arial" w:hAnsi="Arial" w:eastAsia="Arial"/>
                <w:b/>
                <w:lang w:val="sr-Cyrl-RS"/>
              </w:rPr>
              <w:t>планина-Гаџин Хан</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доносиоце одлука, али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w w:val="98"/>
                <w:highlight w:val="lightGray"/>
                <w:lang w:val="sr-Cyrl-RS"/>
              </w:rPr>
            </w:pPr>
            <w:r>
              <w:rPr>
                <w:rFonts w:ascii="Arial" w:hAnsi="Arial" w:eastAsia="Arial"/>
                <w:w w:val="98"/>
                <w:highlight w:val="lightGray"/>
                <w:lang w:val="sr-Cyrl-RS"/>
              </w:rPr>
              <w:t>имају утицај у промоцији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2</w:t>
            </w: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 и</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унапређењу туристичке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DDDDDD"/>
            <w:vAlign w:val="bottom"/>
          </w:tcPr>
          <w:p>
            <w:pPr>
              <w:spacing w:line="0" w:lineRule="atLeast"/>
              <w:rPr>
                <w:lang w:val="sr-Cyrl-RS"/>
              </w:rPr>
            </w:pPr>
          </w:p>
        </w:tc>
        <w:tc>
          <w:tcPr>
            <w:tcW w:w="284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2760" w:type="dxa"/>
            <w:shd w:val="clear" w:color="auto" w:fill="DDDDDD"/>
            <w:vAlign w:val="bottom"/>
          </w:tcPr>
          <w:p>
            <w:pPr>
              <w:spacing w:line="0" w:lineRule="atLeast"/>
              <w:rPr>
                <w:rFonts w:ascii="Arial" w:hAnsi="Arial" w:eastAsia="Arial"/>
                <w:lang w:val="sr-Cyrl-RS"/>
              </w:rPr>
            </w:pPr>
            <w:r>
              <w:rPr>
                <w:rFonts w:ascii="Arial" w:hAnsi="Arial" w:eastAsia="Arial"/>
                <w:lang w:val="sr-Cyrl-RS"/>
              </w:rPr>
              <w:t>понуде.</w:t>
            </w:r>
          </w:p>
        </w:tc>
        <w:tc>
          <w:tcPr>
            <w:tcW w:w="120" w:type="dxa"/>
            <w:tcBorders>
              <w:right w:val="single" w:color="auto" w:sz="8" w:space="0"/>
            </w:tcBorders>
            <w:shd w:val="clear" w:color="auto" w:fill="DDDDDD"/>
            <w:vAlign w:val="bottom"/>
          </w:tcPr>
          <w:p>
            <w:pPr>
              <w:spacing w:line="0" w:lineRule="atLeast"/>
              <w:rPr>
                <w:lang w:val="sr-Cyrl-RS"/>
              </w:rPr>
            </w:pPr>
          </w:p>
        </w:tc>
        <w:tc>
          <w:tcPr>
            <w:tcW w:w="100" w:type="dxa"/>
            <w:shd w:val="clear" w:color="auto" w:fill="DDDDDD"/>
            <w:vAlign w:val="bottom"/>
          </w:tcPr>
          <w:p>
            <w:pPr>
              <w:spacing w:line="0" w:lineRule="atLeast"/>
              <w:rPr>
                <w:lang w:val="sr-Cyrl-RS"/>
              </w:rPr>
            </w:pPr>
          </w:p>
        </w:tc>
        <w:tc>
          <w:tcPr>
            <w:tcW w:w="3100" w:type="dxa"/>
            <w:shd w:val="clear" w:color="auto" w:fill="DDDDDD"/>
            <w:vAlign w:val="bottom"/>
          </w:tcPr>
          <w:p>
            <w:pPr>
              <w:spacing w:line="0" w:lineRule="atLeast"/>
              <w:rPr>
                <w:lang w:val="sr-Cyrl-RS"/>
              </w:rPr>
            </w:pPr>
          </w:p>
        </w:tc>
        <w:tc>
          <w:tcPr>
            <w:tcW w:w="12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120" w:type="dxa"/>
            <w:tcBorders>
              <w:left w:val="single" w:color="auto" w:sz="8" w:space="0"/>
              <w:bottom w:val="single" w:color="DDDDDD" w:sz="8" w:space="0"/>
            </w:tcBorders>
            <w:shd w:val="clear" w:color="auto" w:fill="DDDDDD"/>
            <w:vAlign w:val="bottom"/>
          </w:tcPr>
          <w:p>
            <w:pPr>
              <w:spacing w:line="0" w:lineRule="atLeast"/>
              <w:rPr>
                <w:lang w:val="sr-Cyrl-RS"/>
              </w:rPr>
            </w:pPr>
          </w:p>
        </w:tc>
        <w:tc>
          <w:tcPr>
            <w:tcW w:w="284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2760" w:type="dxa"/>
            <w:tcBorders>
              <w:bottom w:val="single" w:color="DDDDDD"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100" w:type="dxa"/>
            <w:tcBorders>
              <w:bottom w:val="single" w:color="DDDDDD" w:sz="8" w:space="0"/>
            </w:tcBorders>
            <w:shd w:val="clear" w:color="auto" w:fill="DDDDDD"/>
            <w:vAlign w:val="bottom"/>
          </w:tcPr>
          <w:p>
            <w:pPr>
              <w:spacing w:line="0" w:lineRule="atLeast"/>
              <w:rPr>
                <w:lang w:val="sr-Cyrl-RS"/>
              </w:rPr>
            </w:pPr>
          </w:p>
        </w:tc>
        <w:tc>
          <w:tcPr>
            <w:tcW w:w="3100" w:type="dxa"/>
            <w:tcBorders>
              <w:bottom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120" w:type="dxa"/>
            <w:tcBorders>
              <w:top w:val="single" w:color="auto" w:sz="8" w:space="0"/>
              <w:left w:val="single" w:color="auto" w:sz="8" w:space="0"/>
            </w:tcBorders>
            <w:shd w:val="clear" w:color="auto" w:fill="auto"/>
            <w:vAlign w:val="bottom"/>
          </w:tcPr>
          <w:p>
            <w:pPr>
              <w:spacing w:line="0" w:lineRule="atLeast"/>
              <w:rPr>
                <w:sz w:val="23"/>
                <w:lang w:val="sr-Cyrl-RS"/>
              </w:rPr>
            </w:pPr>
          </w:p>
        </w:tc>
        <w:tc>
          <w:tcPr>
            <w:tcW w:w="2960" w:type="dxa"/>
            <w:gridSpan w:val="2"/>
            <w:tcBorders>
              <w:top w:val="single" w:color="auto" w:sz="8" w:space="0"/>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16.Угоститељи (кафеи</w:t>
            </w:r>
          </w:p>
        </w:tc>
        <w:tc>
          <w:tcPr>
            <w:tcW w:w="100" w:type="dxa"/>
            <w:tcBorders>
              <w:top w:val="single" w:color="auto" w:sz="8" w:space="0"/>
            </w:tcBorders>
            <w:shd w:val="clear" w:color="auto" w:fill="F8F8F8"/>
            <w:vAlign w:val="bottom"/>
          </w:tcPr>
          <w:p>
            <w:pPr>
              <w:spacing w:line="0" w:lineRule="atLeast"/>
              <w:rPr>
                <w:sz w:val="23"/>
                <w:lang w:val="sr-Cyrl-RS"/>
              </w:rPr>
            </w:pPr>
          </w:p>
        </w:tc>
        <w:tc>
          <w:tcPr>
            <w:tcW w:w="2760" w:type="dxa"/>
            <w:tcBorders>
              <w:top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Повећање туристичког</w:t>
            </w:r>
          </w:p>
        </w:tc>
        <w:tc>
          <w:tcPr>
            <w:tcW w:w="120" w:type="dxa"/>
            <w:tcBorders>
              <w:top w:val="single" w:color="auto" w:sz="8" w:space="0"/>
              <w:right w:val="single" w:color="auto" w:sz="8" w:space="0"/>
            </w:tcBorders>
            <w:shd w:val="clear" w:color="auto" w:fill="F8F8F8"/>
            <w:vAlign w:val="bottom"/>
          </w:tcPr>
          <w:p>
            <w:pPr>
              <w:spacing w:line="0" w:lineRule="atLeast"/>
              <w:rPr>
                <w:sz w:val="23"/>
                <w:lang w:val="sr-Cyrl-RS"/>
              </w:rPr>
            </w:pPr>
          </w:p>
        </w:tc>
        <w:tc>
          <w:tcPr>
            <w:tcW w:w="100" w:type="dxa"/>
            <w:tcBorders>
              <w:top w:val="single" w:color="auto" w:sz="8" w:space="0"/>
            </w:tcBorders>
            <w:shd w:val="clear" w:color="auto" w:fill="F8F8F8"/>
            <w:vAlign w:val="bottom"/>
          </w:tcPr>
          <w:p>
            <w:pPr>
              <w:spacing w:line="0" w:lineRule="atLeast"/>
              <w:rPr>
                <w:sz w:val="23"/>
                <w:lang w:val="sr-Cyrl-RS"/>
              </w:rPr>
            </w:pPr>
          </w:p>
        </w:tc>
        <w:tc>
          <w:tcPr>
            <w:tcW w:w="3100" w:type="dxa"/>
            <w:tcBorders>
              <w:top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Пружањем квалитетне</w:t>
            </w:r>
          </w:p>
        </w:tc>
        <w:tc>
          <w:tcPr>
            <w:tcW w:w="120" w:type="dxa"/>
            <w:tcBorders>
              <w:top w:val="single" w:color="auto" w:sz="8" w:space="0"/>
              <w:right w:val="single" w:color="auto" w:sz="8" w:space="0"/>
            </w:tcBorders>
            <w:shd w:val="clear" w:color="auto" w:fill="F8F8F8"/>
            <w:vAlign w:val="bottom"/>
          </w:tcPr>
          <w:p>
            <w:pPr>
              <w:spacing w:line="0" w:lineRule="atLeast"/>
              <w:rPr>
                <w:sz w:val="23"/>
                <w:lang w:val="sr-Cyrl-RS"/>
              </w:rPr>
            </w:pPr>
          </w:p>
        </w:tc>
      </w:tr>
      <w:tr>
        <w:tblPrEx>
          <w:tblCellMar>
            <w:top w:w="0" w:type="dxa"/>
            <w:left w:w="0" w:type="dxa"/>
            <w:bottom w:w="0" w:type="dxa"/>
            <w:right w:w="0" w:type="dxa"/>
          </w:tblCellMar>
        </w:tblPrEx>
        <w:trPr>
          <w:trHeight w:val="315" w:hRule="atLeast"/>
        </w:trPr>
        <w:tc>
          <w:tcPr>
            <w:tcW w:w="120" w:type="dxa"/>
            <w:tcBorders>
              <w:left w:val="single" w:color="auto" w:sz="8" w:space="0"/>
            </w:tcBorders>
            <w:shd w:val="clear" w:color="auto" w:fill="auto"/>
            <w:vAlign w:val="bottom"/>
          </w:tcPr>
          <w:p>
            <w:pPr>
              <w:spacing w:line="0" w:lineRule="atLeast"/>
              <w:rPr>
                <w:lang w:val="sr-Cyrl-RS"/>
              </w:rPr>
            </w:pPr>
          </w:p>
        </w:tc>
        <w:tc>
          <w:tcPr>
            <w:tcW w:w="2960" w:type="dxa"/>
            <w:gridSpan w:val="2"/>
            <w:tcBorders>
              <w:righ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и ресторани)</w:t>
            </w:r>
          </w:p>
        </w:tc>
        <w:tc>
          <w:tcPr>
            <w:tcW w:w="100" w:type="dxa"/>
            <w:shd w:val="clear" w:color="auto" w:fill="F8F8F8"/>
            <w:vAlign w:val="bottom"/>
          </w:tcPr>
          <w:p>
            <w:pPr>
              <w:spacing w:line="0" w:lineRule="atLeast"/>
              <w:rPr>
                <w:lang w:val="sr-Cyrl-RS"/>
              </w:rPr>
            </w:pPr>
          </w:p>
        </w:tc>
        <w:tc>
          <w:tcPr>
            <w:tcW w:w="2760" w:type="dxa"/>
            <w:shd w:val="clear" w:color="auto" w:fill="F8F8F8"/>
            <w:vAlign w:val="bottom"/>
          </w:tcPr>
          <w:p>
            <w:pPr>
              <w:spacing w:line="0" w:lineRule="atLeast"/>
              <w:rPr>
                <w:rFonts w:ascii="Arial" w:hAnsi="Arial" w:eastAsia="Arial"/>
                <w:lang w:val="sr-Cyrl-RS"/>
              </w:rPr>
            </w:pPr>
          </w:p>
        </w:tc>
        <w:tc>
          <w:tcPr>
            <w:tcW w:w="120" w:type="dxa"/>
            <w:tcBorders>
              <w:right w:val="single" w:color="auto" w:sz="8" w:space="0"/>
            </w:tcBorders>
            <w:shd w:val="clear" w:color="auto" w:fill="F8F8F8"/>
            <w:vAlign w:val="bottom"/>
          </w:tcPr>
          <w:p>
            <w:pPr>
              <w:spacing w:line="0" w:lineRule="atLeast"/>
              <w:rPr>
                <w:lang w:val="sr-Cyrl-RS"/>
              </w:rPr>
            </w:pPr>
          </w:p>
        </w:tc>
        <w:tc>
          <w:tcPr>
            <w:tcW w:w="100" w:type="dxa"/>
            <w:shd w:val="clear" w:color="auto" w:fill="F8F8F8"/>
            <w:vAlign w:val="bottom"/>
          </w:tcPr>
          <w:p>
            <w:pPr>
              <w:spacing w:line="0" w:lineRule="atLeast"/>
              <w:rPr>
                <w:lang w:val="sr-Cyrl-RS"/>
              </w:rPr>
            </w:pPr>
          </w:p>
        </w:tc>
        <w:tc>
          <w:tcPr>
            <w:tcW w:w="3100" w:type="dxa"/>
            <w:shd w:val="clear" w:color="auto" w:fill="F8F8F8"/>
            <w:vAlign w:val="bottom"/>
          </w:tcPr>
          <w:p>
            <w:pPr>
              <w:spacing w:line="0" w:lineRule="atLeast"/>
              <w:rPr>
                <w:rFonts w:ascii="Arial" w:hAnsi="Arial" w:eastAsia="Arial"/>
                <w:highlight w:val="white"/>
                <w:lang w:val="sr-Cyrl-RS"/>
              </w:rPr>
            </w:pPr>
            <w:r>
              <w:rPr>
                <w:rFonts w:ascii="Arial" w:hAnsi="Arial" w:eastAsia="Arial"/>
                <w:highlight w:val="white"/>
                <w:lang w:val="sr-Cyrl-RS"/>
              </w:rPr>
              <w:t>угоститељске услуге утиче</w:t>
            </w:r>
          </w:p>
        </w:tc>
        <w:tc>
          <w:tcPr>
            <w:tcW w:w="120" w:type="dxa"/>
            <w:tcBorders>
              <w:right w:val="single" w:color="auto" w:sz="8" w:space="0"/>
            </w:tcBorders>
            <w:shd w:val="clear" w:color="auto" w:fill="F8F8F8"/>
            <w:vAlign w:val="bottom"/>
          </w:tcPr>
          <w:p>
            <w:pPr>
              <w:spacing w:line="0" w:lineRule="atLeast"/>
              <w:rPr>
                <w:lang w:val="sr-Cyrl-RS"/>
              </w:rPr>
            </w:pPr>
          </w:p>
        </w:tc>
      </w:tr>
      <w:tr>
        <w:tblPrEx>
          <w:tblCellMar>
            <w:top w:w="0" w:type="dxa"/>
            <w:left w:w="0" w:type="dxa"/>
            <w:bottom w:w="0" w:type="dxa"/>
            <w:right w:w="0" w:type="dxa"/>
          </w:tblCellMar>
        </w:tblPrEx>
        <w:trPr>
          <w:trHeight w:val="360" w:hRule="atLeast"/>
        </w:trPr>
        <w:tc>
          <w:tcPr>
            <w:tcW w:w="120" w:type="dxa"/>
            <w:tcBorders>
              <w:left w:val="single" w:color="auto" w:sz="8" w:space="0"/>
            </w:tcBorders>
            <w:shd w:val="clear" w:color="auto" w:fill="auto"/>
            <w:vAlign w:val="bottom"/>
          </w:tcPr>
          <w:p>
            <w:pPr>
              <w:spacing w:line="0" w:lineRule="atLeast"/>
              <w:rPr>
                <w:lang w:val="sr-Cyrl-RS"/>
              </w:rPr>
            </w:pPr>
          </w:p>
        </w:tc>
        <w:tc>
          <w:tcPr>
            <w:tcW w:w="2840" w:type="dxa"/>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100" w:type="dxa"/>
            <w:tcBorders>
              <w:bottom w:val="single" w:color="F8F8F8" w:sz="8" w:space="0"/>
            </w:tcBorders>
            <w:shd w:val="clear" w:color="auto" w:fill="F8F8F8"/>
            <w:vAlign w:val="bottom"/>
          </w:tcPr>
          <w:p>
            <w:pPr>
              <w:spacing w:line="0" w:lineRule="atLeast"/>
              <w:rPr>
                <w:lang w:val="sr-Cyrl-RS"/>
              </w:rPr>
            </w:pPr>
          </w:p>
        </w:tc>
        <w:tc>
          <w:tcPr>
            <w:tcW w:w="2760" w:type="dxa"/>
            <w:tcBorders>
              <w:bottom w:val="single" w:color="F8F8F8"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промета.</w:t>
            </w:r>
          </w:p>
        </w:tc>
        <w:tc>
          <w:tcPr>
            <w:tcW w:w="120" w:type="dxa"/>
            <w:tcBorders>
              <w:bottom w:val="single" w:color="F8F8F8" w:sz="8" w:space="0"/>
              <w:right w:val="single" w:color="auto" w:sz="8" w:space="0"/>
            </w:tcBorders>
            <w:shd w:val="clear" w:color="auto" w:fill="F8F8F8"/>
            <w:vAlign w:val="bottom"/>
          </w:tcPr>
          <w:p>
            <w:pPr>
              <w:spacing w:line="0" w:lineRule="atLeast"/>
              <w:rPr>
                <w:lang w:val="sr-Cyrl-RS"/>
              </w:rPr>
            </w:pPr>
          </w:p>
        </w:tc>
        <w:tc>
          <w:tcPr>
            <w:tcW w:w="100" w:type="dxa"/>
            <w:tcBorders>
              <w:bottom w:val="single" w:color="F8F8F8" w:sz="8" w:space="0"/>
            </w:tcBorders>
            <w:shd w:val="clear" w:color="auto" w:fill="F8F8F8"/>
            <w:vAlign w:val="bottom"/>
          </w:tcPr>
          <w:p>
            <w:pPr>
              <w:spacing w:line="0" w:lineRule="atLeast"/>
              <w:rPr>
                <w:lang w:val="sr-Cyrl-RS"/>
              </w:rPr>
            </w:pPr>
          </w:p>
        </w:tc>
        <w:tc>
          <w:tcPr>
            <w:tcW w:w="3100" w:type="dxa"/>
            <w:tcBorders>
              <w:bottom w:val="single" w:color="F8F8F8" w:sz="8" w:space="0"/>
            </w:tcBorders>
            <w:shd w:val="clear" w:color="auto" w:fill="F8F8F8"/>
            <w:vAlign w:val="bottom"/>
          </w:tcPr>
          <w:p>
            <w:pPr>
              <w:spacing w:line="0" w:lineRule="atLeast"/>
              <w:rPr>
                <w:lang w:val="sr-Cyrl-RS"/>
              </w:rPr>
            </w:pPr>
          </w:p>
        </w:tc>
        <w:tc>
          <w:tcPr>
            <w:tcW w:w="120" w:type="dxa"/>
            <w:tcBorders>
              <w:bottom w:val="single" w:color="F8F8F8" w:sz="8" w:space="0"/>
              <w:right w:val="single" w:color="auto" w:sz="8" w:space="0"/>
            </w:tcBorders>
            <w:shd w:val="clear" w:color="auto" w:fill="F8F8F8"/>
            <w:vAlign w:val="bottom"/>
          </w:tcPr>
          <w:p>
            <w:pPr>
              <w:spacing w:line="0" w:lineRule="atLeast"/>
              <w:rPr>
                <w:lang w:val="sr-Cyrl-RS"/>
              </w:rPr>
            </w:pPr>
          </w:p>
        </w:tc>
      </w:tr>
      <w:tr>
        <w:tblPrEx>
          <w:tblCellMar>
            <w:top w:w="0" w:type="dxa"/>
            <w:left w:w="0" w:type="dxa"/>
            <w:bottom w:w="0" w:type="dxa"/>
            <w:right w:w="0" w:type="dxa"/>
          </w:tblCellMar>
        </w:tblPrEx>
        <w:trPr>
          <w:trHeight w:val="515" w:hRule="atLeast"/>
        </w:trPr>
        <w:tc>
          <w:tcPr>
            <w:tcW w:w="120" w:type="dxa"/>
            <w:tcBorders>
              <w:top w:val="single" w:color="auto" w:sz="8" w:space="0"/>
            </w:tcBorders>
            <w:shd w:val="clear" w:color="auto" w:fill="auto"/>
            <w:vAlign w:val="bottom"/>
          </w:tcPr>
          <w:p>
            <w:pPr>
              <w:spacing w:line="0" w:lineRule="atLeast"/>
              <w:rPr>
                <w:lang w:val="sr-Cyrl-RS"/>
              </w:rPr>
            </w:pPr>
          </w:p>
        </w:tc>
        <w:tc>
          <w:tcPr>
            <w:tcW w:w="2840" w:type="dxa"/>
            <w:tcBorders>
              <w:top w:val="single" w:color="auto" w:sz="8" w:space="0"/>
            </w:tcBorders>
            <w:shd w:val="clear" w:color="auto" w:fill="auto"/>
            <w:vAlign w:val="bottom"/>
          </w:tcPr>
          <w:p>
            <w:pPr>
              <w:spacing w:line="0" w:lineRule="atLeast"/>
              <w:rPr>
                <w:lang w:val="sr-Cyrl-RS"/>
              </w:rPr>
            </w:pPr>
          </w:p>
        </w:tc>
        <w:tc>
          <w:tcPr>
            <w:tcW w:w="120" w:type="dxa"/>
            <w:tcBorders>
              <w:top w:val="single" w:color="auto" w:sz="8" w:space="0"/>
            </w:tcBorders>
            <w:shd w:val="clear" w:color="auto" w:fill="auto"/>
            <w:vAlign w:val="bottom"/>
          </w:tcPr>
          <w:p>
            <w:pPr>
              <w:spacing w:line="0" w:lineRule="atLeast"/>
              <w:rPr>
                <w:lang w:val="sr-Cyrl-RS"/>
              </w:rPr>
            </w:pPr>
          </w:p>
        </w:tc>
        <w:tc>
          <w:tcPr>
            <w:tcW w:w="100" w:type="dxa"/>
            <w:tcBorders>
              <w:top w:val="single" w:color="auto" w:sz="8" w:space="0"/>
            </w:tcBorders>
            <w:shd w:val="clear" w:color="auto" w:fill="auto"/>
            <w:vAlign w:val="bottom"/>
          </w:tcPr>
          <w:p>
            <w:pPr>
              <w:spacing w:line="0" w:lineRule="atLeast"/>
              <w:rPr>
                <w:lang w:val="sr-Cyrl-RS"/>
              </w:rPr>
            </w:pPr>
          </w:p>
        </w:tc>
        <w:tc>
          <w:tcPr>
            <w:tcW w:w="2760" w:type="dxa"/>
            <w:tcBorders>
              <w:top w:val="single" w:color="auto" w:sz="8" w:space="0"/>
            </w:tcBorders>
            <w:shd w:val="clear" w:color="auto" w:fill="auto"/>
            <w:vAlign w:val="bottom"/>
          </w:tcPr>
          <w:p>
            <w:pPr>
              <w:spacing w:line="0" w:lineRule="atLeast"/>
              <w:rPr>
                <w:lang w:val="sr-Cyrl-RS"/>
              </w:rPr>
            </w:pPr>
          </w:p>
        </w:tc>
        <w:tc>
          <w:tcPr>
            <w:tcW w:w="120" w:type="dxa"/>
            <w:tcBorders>
              <w:top w:val="single" w:color="auto" w:sz="8" w:space="0"/>
            </w:tcBorders>
            <w:shd w:val="clear" w:color="auto" w:fill="auto"/>
            <w:vAlign w:val="bottom"/>
          </w:tcPr>
          <w:p>
            <w:pPr>
              <w:spacing w:line="0" w:lineRule="atLeast"/>
              <w:rPr>
                <w:lang w:val="sr-Cyrl-RS"/>
              </w:rPr>
            </w:pPr>
          </w:p>
        </w:tc>
        <w:tc>
          <w:tcPr>
            <w:tcW w:w="3200" w:type="dxa"/>
            <w:gridSpan w:val="2"/>
            <w:tcBorders>
              <w:top w:val="single" w:color="auto" w:sz="8" w:space="0"/>
            </w:tcBorders>
            <w:shd w:val="clear" w:color="auto" w:fill="auto"/>
            <w:vAlign w:val="bottom"/>
          </w:tcPr>
          <w:p>
            <w:pPr>
              <w:spacing w:line="0" w:lineRule="atLeast"/>
              <w:ind w:right="120"/>
              <w:jc w:val="right"/>
              <w:rPr>
                <w:lang w:val="sr-Cyrl-RS"/>
              </w:rPr>
            </w:pPr>
          </w:p>
        </w:tc>
        <w:tc>
          <w:tcPr>
            <w:tcW w:w="120" w:type="dxa"/>
            <w:tcBorders>
              <w:top w:val="single" w:color="auto" w:sz="8" w:space="0"/>
            </w:tcBorders>
            <w:shd w:val="clear" w:color="auto" w:fill="auto"/>
            <w:vAlign w:val="bottom"/>
          </w:tcPr>
          <w:p>
            <w:pPr>
              <w:spacing w:line="0" w:lineRule="atLeast"/>
              <w:rPr>
                <w:lang w:val="sr-Cyrl-RS"/>
              </w:rPr>
            </w:pPr>
          </w:p>
        </w:tc>
      </w:tr>
    </w:tbl>
    <w:p>
      <w:pPr>
        <w:rPr>
          <w:lang w:val="sr-Cyrl-RS"/>
        </w:rPr>
        <w:sectPr>
          <w:pgSz w:w="11900" w:h="16840"/>
          <w:pgMar w:top="707" w:right="1105" w:bottom="551" w:left="1440" w:header="0" w:footer="0" w:gutter="0"/>
          <w:cols w:equalWidth="0" w:num="1">
            <w:col w:w="9360"/>
          </w:cols>
          <w:docGrid w:linePitch="360" w:charSpace="0"/>
        </w:sectPr>
      </w:pPr>
    </w:p>
    <w:p>
      <w:pPr>
        <w:spacing w:line="200" w:lineRule="exact"/>
        <w:rPr>
          <w:lang w:val="sr-Cyrl-RS"/>
        </w:rPr>
      </w:pPr>
      <w:bookmarkStart w:id="77" w:name="page38"/>
      <w:bookmarkEnd w:id="77"/>
    </w:p>
    <w:p>
      <w:pPr>
        <w:spacing w:line="283" w:lineRule="exact"/>
        <w:rPr>
          <w:lang w:val="sr-Cyrl-RS"/>
        </w:rPr>
      </w:pPr>
    </w:p>
    <w:tbl>
      <w:tblPr>
        <w:tblStyle w:val="6"/>
        <w:tblW w:w="0" w:type="auto"/>
        <w:tblInd w:w="10" w:type="dxa"/>
        <w:tblLayout w:type="fixed"/>
        <w:tblCellMar>
          <w:top w:w="0" w:type="dxa"/>
          <w:left w:w="0" w:type="dxa"/>
          <w:bottom w:w="0" w:type="dxa"/>
          <w:right w:w="0" w:type="dxa"/>
        </w:tblCellMar>
      </w:tblPr>
      <w:tblGrid>
        <w:gridCol w:w="3080"/>
        <w:gridCol w:w="120"/>
        <w:gridCol w:w="2860"/>
        <w:gridCol w:w="100"/>
        <w:gridCol w:w="140"/>
        <w:gridCol w:w="3100"/>
      </w:tblGrid>
      <w:tr>
        <w:tblPrEx>
          <w:tblCellMar>
            <w:top w:w="0" w:type="dxa"/>
            <w:left w:w="0" w:type="dxa"/>
            <w:bottom w:w="0" w:type="dxa"/>
            <w:right w:w="0" w:type="dxa"/>
          </w:tblCellMar>
        </w:tblPrEx>
        <w:trPr>
          <w:trHeight w:val="295" w:hRule="atLeast"/>
        </w:trPr>
        <w:tc>
          <w:tcPr>
            <w:tcW w:w="3080" w:type="dxa"/>
            <w:tcBorders>
              <w:top w:val="single" w:color="auto" w:sz="8" w:space="0"/>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top w:val="single" w:color="auto" w:sz="8" w:space="0"/>
              <w:right w:val="single" w:color="F8F8F8" w:sz="8" w:space="0"/>
            </w:tcBorders>
            <w:shd w:val="clear" w:color="auto" w:fill="F8F8F8"/>
            <w:vAlign w:val="bottom"/>
          </w:tcPr>
          <w:p>
            <w:pPr>
              <w:spacing w:line="0" w:lineRule="atLeast"/>
              <w:rPr>
                <w:lang w:val="sr-Cyrl-RS"/>
              </w:rPr>
            </w:pPr>
          </w:p>
        </w:tc>
        <w:tc>
          <w:tcPr>
            <w:tcW w:w="2860" w:type="dxa"/>
            <w:tcBorders>
              <w:top w:val="single" w:color="auto" w:sz="8" w:space="0"/>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00" w:type="dxa"/>
            <w:tcBorders>
              <w:top w:val="single" w:color="auto" w:sz="8" w:space="0"/>
            </w:tcBorders>
            <w:shd w:val="clear" w:color="auto" w:fill="F8F8F8"/>
            <w:vAlign w:val="bottom"/>
          </w:tcPr>
          <w:p>
            <w:pPr>
              <w:spacing w:line="0" w:lineRule="atLeast"/>
              <w:rPr>
                <w:lang w:val="sr-Cyrl-RS"/>
              </w:rPr>
            </w:pPr>
          </w:p>
        </w:tc>
        <w:tc>
          <w:tcPr>
            <w:tcW w:w="3220" w:type="dxa"/>
            <w:gridSpan w:val="2"/>
            <w:tcBorders>
              <w:top w:val="single" w:color="auto" w:sz="8" w:space="0"/>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се на задовољство</w:t>
            </w: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right w:val="single" w:color="F8F8F8" w:sz="8" w:space="0"/>
            </w:tcBorders>
            <w:shd w:val="clear" w:color="auto" w:fill="F8F8F8"/>
            <w:vAlign w:val="bottom"/>
          </w:tcPr>
          <w:p>
            <w:pPr>
              <w:spacing w:line="0" w:lineRule="atLeast"/>
              <w:rPr>
                <w:lang w:val="sr-Cyrl-RS"/>
              </w:rPr>
            </w:pPr>
          </w:p>
        </w:tc>
        <w:tc>
          <w:tcPr>
            <w:tcW w:w="2860" w:type="dxa"/>
            <w:tcBorders>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Као учесници у</w:t>
            </w:r>
          </w:p>
        </w:tc>
        <w:tc>
          <w:tcPr>
            <w:tcW w:w="100" w:type="dxa"/>
            <w:shd w:val="clear" w:color="auto" w:fill="F8F8F8"/>
            <w:vAlign w:val="bottom"/>
          </w:tcPr>
          <w:p>
            <w:pPr>
              <w:spacing w:line="0" w:lineRule="atLeast"/>
              <w:rPr>
                <w:lang w:val="sr-Cyrl-RS"/>
              </w:rPr>
            </w:pPr>
          </w:p>
        </w:tc>
        <w:tc>
          <w:tcPr>
            <w:tcW w:w="3220" w:type="dxa"/>
            <w:gridSpan w:val="2"/>
            <w:tcBorders>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посетилаца.</w:t>
            </w: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right w:val="single" w:color="F8F8F8" w:sz="8" w:space="0"/>
            </w:tcBorders>
            <w:shd w:val="clear" w:color="auto" w:fill="F8F8F8"/>
            <w:vAlign w:val="bottom"/>
          </w:tcPr>
          <w:p>
            <w:pPr>
              <w:spacing w:line="0" w:lineRule="atLeast"/>
              <w:rPr>
                <w:lang w:val="sr-Cyrl-RS"/>
              </w:rPr>
            </w:pPr>
          </w:p>
        </w:tc>
        <w:tc>
          <w:tcPr>
            <w:tcW w:w="2860" w:type="dxa"/>
            <w:tcBorders>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туристичкој понуди</w:t>
            </w:r>
          </w:p>
        </w:tc>
        <w:tc>
          <w:tcPr>
            <w:tcW w:w="100" w:type="dxa"/>
            <w:shd w:val="clear" w:color="auto" w:fill="F8F8F8"/>
            <w:vAlign w:val="bottom"/>
          </w:tcPr>
          <w:p>
            <w:pPr>
              <w:spacing w:line="0" w:lineRule="atLeast"/>
              <w:rPr>
                <w:lang w:val="sr-Cyrl-RS"/>
              </w:rPr>
            </w:pPr>
          </w:p>
        </w:tc>
        <w:tc>
          <w:tcPr>
            <w:tcW w:w="140" w:type="dxa"/>
            <w:tcBorders>
              <w:right w:val="single" w:color="F8F8F8" w:sz="8" w:space="0"/>
            </w:tcBorders>
            <w:shd w:val="clear" w:color="auto" w:fill="F8F8F8"/>
            <w:vAlign w:val="bottom"/>
          </w:tcPr>
          <w:p>
            <w:pPr>
              <w:spacing w:line="0" w:lineRule="atLeast"/>
              <w:rPr>
                <w:lang w:val="sr-Cyrl-RS"/>
              </w:rPr>
            </w:pPr>
          </w:p>
        </w:tc>
        <w:tc>
          <w:tcPr>
            <w:tcW w:w="3100" w:type="dxa"/>
            <w:tcBorders>
              <w:right w:val="single" w:color="auto" w:sz="8" w:space="0"/>
            </w:tcBorders>
            <w:shd w:val="clear" w:color="auto" w:fill="F8F8F8"/>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right w:val="single" w:color="F8F8F8" w:sz="8" w:space="0"/>
            </w:tcBorders>
            <w:shd w:val="clear" w:color="auto" w:fill="F8F8F8"/>
            <w:vAlign w:val="bottom"/>
          </w:tcPr>
          <w:p>
            <w:pPr>
              <w:spacing w:line="0" w:lineRule="atLeast"/>
              <w:rPr>
                <w:lang w:val="sr-Cyrl-RS"/>
              </w:rPr>
            </w:pPr>
          </w:p>
        </w:tc>
        <w:tc>
          <w:tcPr>
            <w:tcW w:w="2860" w:type="dxa"/>
            <w:tcBorders>
              <w:right w:val="single" w:color="auto" w:sz="8" w:space="0"/>
            </w:tcBorders>
            <w:shd w:val="clear" w:color="auto" w:fill="F8F8F8"/>
            <w:vAlign w:val="bottom"/>
          </w:tcPr>
          <w:p>
            <w:pPr>
              <w:spacing w:line="0" w:lineRule="atLeast"/>
              <w:rPr>
                <w:rFonts w:ascii="Arial" w:hAnsi="Arial" w:eastAsia="Arial"/>
                <w:highlight w:val="white"/>
                <w:lang w:val="sr-Cyrl-RS"/>
              </w:rPr>
            </w:pPr>
            <w:r>
              <w:rPr>
                <w:rFonts w:ascii="Arial" w:hAnsi="Arial" w:eastAsia="Arial"/>
                <w:highlight w:val="white"/>
                <w:lang w:val="sr-Cyrl-RS"/>
              </w:rPr>
              <w:t>имају утицај на квалитет</w:t>
            </w:r>
          </w:p>
        </w:tc>
        <w:tc>
          <w:tcPr>
            <w:tcW w:w="100" w:type="dxa"/>
            <w:shd w:val="clear" w:color="auto" w:fill="F8F8F8"/>
            <w:vAlign w:val="bottom"/>
          </w:tcPr>
          <w:p>
            <w:pPr>
              <w:spacing w:line="0" w:lineRule="atLeast"/>
              <w:rPr>
                <w:lang w:val="sr-Cyrl-RS"/>
              </w:rPr>
            </w:pPr>
          </w:p>
        </w:tc>
        <w:tc>
          <w:tcPr>
            <w:tcW w:w="3220" w:type="dxa"/>
            <w:gridSpan w:val="2"/>
            <w:tcBorders>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right w:val="single" w:color="F8F8F8" w:sz="8" w:space="0"/>
            </w:tcBorders>
            <w:shd w:val="clear" w:color="auto" w:fill="F8F8F8"/>
            <w:vAlign w:val="bottom"/>
          </w:tcPr>
          <w:p>
            <w:pPr>
              <w:spacing w:line="0" w:lineRule="atLeast"/>
              <w:rPr>
                <w:lang w:val="sr-Cyrl-RS"/>
              </w:rPr>
            </w:pPr>
          </w:p>
        </w:tc>
        <w:tc>
          <w:tcPr>
            <w:tcW w:w="2860" w:type="dxa"/>
            <w:tcBorders>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услуга, али немају</w:t>
            </w:r>
          </w:p>
        </w:tc>
        <w:tc>
          <w:tcPr>
            <w:tcW w:w="100" w:type="dxa"/>
            <w:shd w:val="clear" w:color="auto" w:fill="F8F8F8"/>
            <w:vAlign w:val="bottom"/>
          </w:tcPr>
          <w:p>
            <w:pPr>
              <w:spacing w:line="0" w:lineRule="atLeast"/>
              <w:rPr>
                <w:lang w:val="sr-Cyrl-RS"/>
              </w:rPr>
            </w:pPr>
          </w:p>
        </w:tc>
        <w:tc>
          <w:tcPr>
            <w:tcW w:w="140" w:type="dxa"/>
            <w:tcBorders>
              <w:right w:val="single" w:color="F8F8F8" w:sz="8" w:space="0"/>
            </w:tcBorders>
            <w:shd w:val="clear" w:color="auto" w:fill="F8F8F8"/>
            <w:vAlign w:val="bottom"/>
          </w:tcPr>
          <w:p>
            <w:pPr>
              <w:spacing w:line="0" w:lineRule="atLeast"/>
              <w:rPr>
                <w:lang w:val="sr-Cyrl-RS"/>
              </w:rPr>
            </w:pPr>
          </w:p>
        </w:tc>
        <w:tc>
          <w:tcPr>
            <w:tcW w:w="3100" w:type="dxa"/>
            <w:tcBorders>
              <w:right w:val="single" w:color="auto" w:sz="8" w:space="0"/>
            </w:tcBorders>
            <w:shd w:val="clear" w:color="auto" w:fill="F8F8F8"/>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right w:val="single" w:color="F8F8F8" w:sz="8" w:space="0"/>
            </w:tcBorders>
            <w:shd w:val="clear" w:color="auto" w:fill="F8F8F8"/>
            <w:vAlign w:val="bottom"/>
          </w:tcPr>
          <w:p>
            <w:pPr>
              <w:spacing w:line="0" w:lineRule="atLeast"/>
              <w:rPr>
                <w:lang w:val="sr-Cyrl-RS"/>
              </w:rPr>
            </w:pPr>
          </w:p>
        </w:tc>
        <w:tc>
          <w:tcPr>
            <w:tcW w:w="2860" w:type="dxa"/>
            <w:tcBorders>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На спровођење Програма развоја туризма.</w:t>
            </w:r>
          </w:p>
        </w:tc>
        <w:tc>
          <w:tcPr>
            <w:tcW w:w="100" w:type="dxa"/>
            <w:shd w:val="clear" w:color="auto" w:fill="F8F8F8"/>
            <w:vAlign w:val="bottom"/>
          </w:tcPr>
          <w:p>
            <w:pPr>
              <w:spacing w:line="0" w:lineRule="atLeast"/>
              <w:rPr>
                <w:lang w:val="sr-Cyrl-RS"/>
              </w:rPr>
            </w:pPr>
          </w:p>
        </w:tc>
        <w:tc>
          <w:tcPr>
            <w:tcW w:w="140" w:type="dxa"/>
            <w:tcBorders>
              <w:right w:val="single" w:color="F8F8F8" w:sz="8" w:space="0"/>
            </w:tcBorders>
            <w:shd w:val="clear" w:color="auto" w:fill="F8F8F8"/>
            <w:vAlign w:val="bottom"/>
          </w:tcPr>
          <w:p>
            <w:pPr>
              <w:spacing w:line="0" w:lineRule="atLeast"/>
              <w:rPr>
                <w:lang w:val="sr-Cyrl-RS"/>
              </w:rPr>
            </w:pPr>
          </w:p>
        </w:tc>
        <w:tc>
          <w:tcPr>
            <w:tcW w:w="3100" w:type="dxa"/>
            <w:tcBorders>
              <w:right w:val="single" w:color="auto" w:sz="8" w:space="0"/>
            </w:tcBorders>
            <w:shd w:val="clear" w:color="auto" w:fill="F8F8F8"/>
            <w:vAlign w:val="bottom"/>
          </w:tcPr>
          <w:p>
            <w:pPr>
              <w:spacing w:line="0" w:lineRule="atLeast"/>
              <w:rPr>
                <w:lang w:val="sr-Cyrl-RS"/>
              </w:rPr>
            </w:pPr>
          </w:p>
        </w:tc>
      </w:tr>
      <w:tr>
        <w:tblPrEx>
          <w:tblCellMar>
            <w:top w:w="0" w:type="dxa"/>
            <w:left w:w="0" w:type="dxa"/>
            <w:bottom w:w="0" w:type="dxa"/>
            <w:right w:w="0" w:type="dxa"/>
          </w:tblCellMar>
        </w:tblPrEx>
        <w:trPr>
          <w:trHeight w:val="360" w:hRule="atLeast"/>
        </w:trPr>
        <w:tc>
          <w:tcPr>
            <w:tcW w:w="3080" w:type="dxa"/>
            <w:tcBorders>
              <w:left w:val="single" w:color="auto" w:sz="8" w:space="0"/>
              <w:right w:val="single" w:color="auto" w:sz="8" w:space="0"/>
            </w:tcBorders>
            <w:shd w:val="clear" w:color="auto" w:fill="auto"/>
            <w:vAlign w:val="bottom"/>
          </w:tcPr>
          <w:p>
            <w:pPr>
              <w:spacing w:line="0" w:lineRule="atLeast"/>
              <w:rPr>
                <w:lang w:val="sr-Cyrl-RS"/>
              </w:rPr>
            </w:pPr>
          </w:p>
        </w:tc>
        <w:tc>
          <w:tcPr>
            <w:tcW w:w="120" w:type="dxa"/>
            <w:tcBorders>
              <w:bottom w:val="single" w:color="F8F8F8" w:sz="8" w:space="0"/>
              <w:right w:val="single" w:color="F8F8F8" w:sz="8" w:space="0"/>
            </w:tcBorders>
            <w:shd w:val="clear" w:color="auto" w:fill="F8F8F8"/>
            <w:vAlign w:val="bottom"/>
          </w:tcPr>
          <w:p>
            <w:pPr>
              <w:spacing w:line="0" w:lineRule="atLeast"/>
              <w:rPr>
                <w:lang w:val="sr-Cyrl-RS"/>
              </w:rPr>
            </w:pPr>
          </w:p>
        </w:tc>
        <w:tc>
          <w:tcPr>
            <w:tcW w:w="2860" w:type="dxa"/>
            <w:tcBorders>
              <w:bottom w:val="single" w:color="F8F8F8" w:sz="8" w:space="0"/>
              <w:right w:val="single" w:color="auto" w:sz="8" w:space="0"/>
            </w:tcBorders>
            <w:shd w:val="clear" w:color="auto" w:fill="F8F8F8"/>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00" w:type="dxa"/>
            <w:tcBorders>
              <w:bottom w:val="single" w:color="F8F8F8" w:sz="8" w:space="0"/>
            </w:tcBorders>
            <w:shd w:val="clear" w:color="auto" w:fill="F8F8F8"/>
            <w:vAlign w:val="bottom"/>
          </w:tcPr>
          <w:p>
            <w:pPr>
              <w:spacing w:line="0" w:lineRule="atLeast"/>
              <w:rPr>
                <w:lang w:val="sr-Cyrl-RS"/>
              </w:rPr>
            </w:pPr>
          </w:p>
        </w:tc>
        <w:tc>
          <w:tcPr>
            <w:tcW w:w="140" w:type="dxa"/>
            <w:tcBorders>
              <w:bottom w:val="single" w:color="F8F8F8" w:sz="8" w:space="0"/>
              <w:right w:val="single" w:color="F8F8F8" w:sz="8" w:space="0"/>
            </w:tcBorders>
            <w:shd w:val="clear" w:color="auto" w:fill="F8F8F8"/>
            <w:vAlign w:val="bottom"/>
          </w:tcPr>
          <w:p>
            <w:pPr>
              <w:spacing w:line="0" w:lineRule="atLeast"/>
              <w:rPr>
                <w:lang w:val="sr-Cyrl-RS"/>
              </w:rPr>
            </w:pPr>
          </w:p>
        </w:tc>
        <w:tc>
          <w:tcPr>
            <w:tcW w:w="3100" w:type="dxa"/>
            <w:tcBorders>
              <w:bottom w:val="single" w:color="F8F8F8" w:sz="8" w:space="0"/>
              <w:right w:val="single" w:color="auto" w:sz="8" w:space="0"/>
            </w:tcBorders>
            <w:shd w:val="clear" w:color="auto" w:fill="F8F8F8"/>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3080" w:type="dxa"/>
            <w:tcBorders>
              <w:top w:val="single" w:color="auto" w:sz="8" w:space="0"/>
              <w:left w:val="single" w:color="auto" w:sz="8" w:space="0"/>
              <w:right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17. Организатори</w:t>
            </w:r>
          </w:p>
        </w:tc>
        <w:tc>
          <w:tcPr>
            <w:tcW w:w="120" w:type="dxa"/>
            <w:tcBorders>
              <w:top w:val="single" w:color="auto" w:sz="8" w:space="0"/>
              <w:right w:val="single" w:color="DDDDDD" w:sz="8" w:space="0"/>
            </w:tcBorders>
            <w:shd w:val="clear" w:color="auto" w:fill="DDDDDD"/>
            <w:vAlign w:val="bottom"/>
          </w:tcPr>
          <w:p>
            <w:pPr>
              <w:spacing w:line="0" w:lineRule="atLeast"/>
              <w:rPr>
                <w:sz w:val="23"/>
                <w:lang w:val="sr-Cyrl-RS"/>
              </w:rPr>
            </w:pPr>
          </w:p>
        </w:tc>
        <w:tc>
          <w:tcPr>
            <w:tcW w:w="2860" w:type="dxa"/>
            <w:tcBorders>
              <w:top w:val="single" w:color="auto"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Повећање туристичког промета</w:t>
            </w:r>
          </w:p>
        </w:tc>
        <w:tc>
          <w:tcPr>
            <w:tcW w:w="100" w:type="dxa"/>
            <w:tcBorders>
              <w:top w:val="single" w:color="auto" w:sz="8" w:space="0"/>
            </w:tcBorders>
            <w:shd w:val="clear" w:color="auto" w:fill="DDDDDD"/>
            <w:vAlign w:val="bottom"/>
          </w:tcPr>
          <w:p>
            <w:pPr>
              <w:spacing w:line="0" w:lineRule="atLeast"/>
              <w:rPr>
                <w:sz w:val="23"/>
                <w:lang w:val="sr-Cyrl-RS"/>
              </w:rPr>
            </w:pPr>
          </w:p>
        </w:tc>
        <w:tc>
          <w:tcPr>
            <w:tcW w:w="3220" w:type="dxa"/>
            <w:gridSpan w:val="2"/>
            <w:tcBorders>
              <w:top w:val="single" w:color="auto"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Унапређењем садржаја</w:t>
            </w:r>
          </w:p>
        </w:tc>
      </w:tr>
      <w:tr>
        <w:tblPrEx>
          <w:tblCellMar>
            <w:top w:w="0" w:type="dxa"/>
            <w:left w:w="0" w:type="dxa"/>
            <w:bottom w:w="0" w:type="dxa"/>
            <w:right w:w="0" w:type="dxa"/>
          </w:tblCellMar>
        </w:tblPrEx>
        <w:trPr>
          <w:trHeight w:val="321" w:hRule="atLeast"/>
        </w:trPr>
        <w:tc>
          <w:tcPr>
            <w:tcW w:w="3080" w:type="dxa"/>
            <w:tcBorders>
              <w:left w:val="single" w:color="auto" w:sz="8" w:space="0"/>
              <w:right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фестивала и</w:t>
            </w: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Кроз</w:t>
            </w:r>
          </w:p>
        </w:tc>
        <w:tc>
          <w:tcPr>
            <w:tcW w:w="100" w:type="dxa"/>
            <w:shd w:val="clear" w:color="auto" w:fill="DDDDDD"/>
            <w:vAlign w:val="bottom"/>
          </w:tcPr>
          <w:p>
            <w:pPr>
              <w:spacing w:line="0" w:lineRule="atLeast"/>
              <w:rPr>
                <w:lang w:val="sr-Cyrl-RS"/>
              </w:rPr>
            </w:pPr>
          </w:p>
        </w:tc>
        <w:tc>
          <w:tcPr>
            <w:tcW w:w="3220" w:type="dxa"/>
            <w:gridSpan w:val="2"/>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фестивала могу да имају</w:t>
            </w: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догађаја (претежно</w:t>
            </w: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организацију догађаја,</w:t>
            </w:r>
          </w:p>
        </w:tc>
        <w:tc>
          <w:tcPr>
            <w:tcW w:w="100" w:type="dxa"/>
            <w:shd w:val="clear" w:color="auto" w:fill="DDDDDD"/>
            <w:vAlign w:val="bottom"/>
          </w:tcPr>
          <w:p>
            <w:pPr>
              <w:spacing w:line="0" w:lineRule="atLeast"/>
              <w:rPr>
                <w:lang w:val="sr-Cyrl-RS"/>
              </w:rPr>
            </w:pPr>
          </w:p>
        </w:tc>
        <w:tc>
          <w:tcPr>
            <w:tcW w:w="3220" w:type="dxa"/>
            <w:gridSpan w:val="2"/>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позитиван утицај на имиџ</w:t>
            </w: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auto"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НВО)</w:t>
            </w: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унапређење</w:t>
            </w:r>
          </w:p>
        </w:tc>
        <w:tc>
          <w:tcPr>
            <w:tcW w:w="100" w:type="dxa"/>
            <w:shd w:val="clear" w:color="auto" w:fill="DDDDDD"/>
            <w:vAlign w:val="bottom"/>
          </w:tcPr>
          <w:p>
            <w:pPr>
              <w:spacing w:line="0" w:lineRule="atLeast"/>
              <w:rPr>
                <w:lang w:val="sr-Cyrl-RS"/>
              </w:rPr>
            </w:pPr>
          </w:p>
        </w:tc>
        <w:tc>
          <w:tcPr>
            <w:tcW w:w="3220" w:type="dxa"/>
            <w:gridSpan w:val="2"/>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w:t>
            </w: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DDDDDD"/>
            <w:vAlign w:val="bottom"/>
          </w:tcPr>
          <w:p>
            <w:pPr>
              <w:spacing w:line="0" w:lineRule="atLeast"/>
              <w:rPr>
                <w:lang w:val="sr-Cyrl-RS"/>
              </w:rPr>
            </w:pP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туристичких садржаја.</w:t>
            </w:r>
          </w:p>
        </w:tc>
        <w:tc>
          <w:tcPr>
            <w:tcW w:w="100" w:type="dxa"/>
            <w:shd w:val="clear" w:color="auto" w:fill="DDDDDD"/>
            <w:vAlign w:val="bottom"/>
          </w:tcPr>
          <w:p>
            <w:pPr>
              <w:spacing w:line="0" w:lineRule="atLeast"/>
              <w:rPr>
                <w:lang w:val="sr-Cyrl-RS"/>
              </w:rPr>
            </w:pPr>
          </w:p>
        </w:tc>
        <w:tc>
          <w:tcPr>
            <w:tcW w:w="140" w:type="dxa"/>
            <w:tcBorders>
              <w:right w:val="single" w:color="DDDDDD"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auto" w:sz="8" w:space="0"/>
            </w:tcBorders>
            <w:shd w:val="clear" w:color="auto" w:fill="DDDDDD"/>
            <w:vAlign w:val="bottom"/>
          </w:tcPr>
          <w:p>
            <w:pPr>
              <w:spacing w:line="0" w:lineRule="atLeast"/>
              <w:rPr>
                <w:lang w:val="sr-Cyrl-RS"/>
              </w:rPr>
            </w:pP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4</w:t>
            </w:r>
          </w:p>
        </w:tc>
        <w:tc>
          <w:tcPr>
            <w:tcW w:w="100" w:type="dxa"/>
            <w:shd w:val="clear" w:color="auto" w:fill="DDDDDD"/>
            <w:vAlign w:val="bottom"/>
          </w:tcPr>
          <w:p>
            <w:pPr>
              <w:spacing w:line="0" w:lineRule="atLeast"/>
              <w:rPr>
                <w:lang w:val="sr-Cyrl-RS"/>
              </w:rPr>
            </w:pPr>
          </w:p>
        </w:tc>
        <w:tc>
          <w:tcPr>
            <w:tcW w:w="140" w:type="dxa"/>
            <w:tcBorders>
              <w:right w:val="single" w:color="DDDDDD"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DDDDDD"/>
            <w:vAlign w:val="bottom"/>
          </w:tcPr>
          <w:p>
            <w:pPr>
              <w:spacing w:line="0" w:lineRule="atLeast"/>
              <w:rPr>
                <w:lang w:val="sr-Cyrl-RS"/>
              </w:rPr>
            </w:pP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Немају утицај на</w:t>
            </w:r>
          </w:p>
        </w:tc>
        <w:tc>
          <w:tcPr>
            <w:tcW w:w="100" w:type="dxa"/>
            <w:shd w:val="clear" w:color="auto" w:fill="DDDDDD"/>
            <w:vAlign w:val="bottom"/>
          </w:tcPr>
          <w:p>
            <w:pPr>
              <w:spacing w:line="0" w:lineRule="atLeast"/>
              <w:rPr>
                <w:lang w:val="sr-Cyrl-RS"/>
              </w:rPr>
            </w:pPr>
          </w:p>
        </w:tc>
        <w:tc>
          <w:tcPr>
            <w:tcW w:w="3220" w:type="dxa"/>
            <w:gridSpan w:val="2"/>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321" w:hRule="atLeast"/>
        </w:trPr>
        <w:tc>
          <w:tcPr>
            <w:tcW w:w="3080" w:type="dxa"/>
            <w:tcBorders>
              <w:left w:val="single" w:color="auto" w:sz="8" w:space="0"/>
              <w:right w:val="single" w:color="auto" w:sz="8" w:space="0"/>
            </w:tcBorders>
            <w:shd w:val="clear" w:color="auto" w:fill="DDDDDD"/>
            <w:vAlign w:val="bottom"/>
          </w:tcPr>
          <w:p>
            <w:pPr>
              <w:spacing w:line="0" w:lineRule="atLeast"/>
              <w:rPr>
                <w:lang w:val="sr-Cyrl-RS"/>
              </w:rPr>
            </w:pP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пројекат, али имају</w:t>
            </w:r>
          </w:p>
        </w:tc>
        <w:tc>
          <w:tcPr>
            <w:tcW w:w="100" w:type="dxa"/>
            <w:shd w:val="clear" w:color="auto" w:fill="DDDDDD"/>
            <w:vAlign w:val="bottom"/>
          </w:tcPr>
          <w:p>
            <w:pPr>
              <w:spacing w:line="0" w:lineRule="atLeast"/>
              <w:rPr>
                <w:lang w:val="sr-Cyrl-RS"/>
              </w:rPr>
            </w:pPr>
          </w:p>
        </w:tc>
        <w:tc>
          <w:tcPr>
            <w:tcW w:w="140" w:type="dxa"/>
            <w:tcBorders>
              <w:right w:val="single" w:color="DDDDDD"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auto" w:sz="8" w:space="0"/>
            </w:tcBorders>
            <w:shd w:val="clear" w:color="auto" w:fill="DDDDDD"/>
            <w:vAlign w:val="bottom"/>
          </w:tcPr>
          <w:p>
            <w:pPr>
              <w:spacing w:line="0" w:lineRule="atLeast"/>
              <w:rPr>
                <w:lang w:val="sr-Cyrl-RS"/>
              </w:rPr>
            </w:pP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утицај на квалитет</w:t>
            </w:r>
          </w:p>
        </w:tc>
        <w:tc>
          <w:tcPr>
            <w:tcW w:w="100" w:type="dxa"/>
            <w:shd w:val="clear" w:color="auto" w:fill="DDDDDD"/>
            <w:vAlign w:val="bottom"/>
          </w:tcPr>
          <w:p>
            <w:pPr>
              <w:spacing w:line="0" w:lineRule="atLeast"/>
              <w:rPr>
                <w:lang w:val="sr-Cyrl-RS"/>
              </w:rPr>
            </w:pPr>
          </w:p>
        </w:tc>
        <w:tc>
          <w:tcPr>
            <w:tcW w:w="140" w:type="dxa"/>
            <w:tcBorders>
              <w:right w:val="single" w:color="DDDDDD"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auto" w:sz="8" w:space="0"/>
            </w:tcBorders>
            <w:shd w:val="clear" w:color="auto" w:fill="DDDDDD"/>
            <w:vAlign w:val="bottom"/>
          </w:tcPr>
          <w:p>
            <w:pPr>
              <w:spacing w:line="0" w:lineRule="atLeast"/>
              <w:rPr>
                <w:lang w:val="sr-Cyrl-RS"/>
              </w:rPr>
            </w:pPr>
          </w:p>
        </w:tc>
        <w:tc>
          <w:tcPr>
            <w:tcW w:w="120" w:type="dxa"/>
            <w:tcBorders>
              <w:right w:val="single" w:color="DDDDDD" w:sz="8" w:space="0"/>
            </w:tcBorders>
            <w:shd w:val="clear" w:color="auto" w:fill="DDDDDD"/>
            <w:vAlign w:val="bottom"/>
          </w:tcPr>
          <w:p>
            <w:pPr>
              <w:spacing w:line="0" w:lineRule="atLeast"/>
              <w:rPr>
                <w:lang w:val="sr-Cyrl-RS"/>
              </w:rPr>
            </w:pPr>
          </w:p>
        </w:tc>
        <w:tc>
          <w:tcPr>
            <w:tcW w:w="286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садржаја дестинације</w:t>
            </w:r>
          </w:p>
        </w:tc>
        <w:tc>
          <w:tcPr>
            <w:tcW w:w="100" w:type="dxa"/>
            <w:shd w:val="clear" w:color="auto" w:fill="DDDDDD"/>
            <w:vAlign w:val="bottom"/>
          </w:tcPr>
          <w:p>
            <w:pPr>
              <w:spacing w:line="0" w:lineRule="atLeast"/>
              <w:rPr>
                <w:lang w:val="sr-Cyrl-RS"/>
              </w:rPr>
            </w:pPr>
          </w:p>
        </w:tc>
        <w:tc>
          <w:tcPr>
            <w:tcW w:w="140" w:type="dxa"/>
            <w:tcBorders>
              <w:right w:val="single" w:color="DDDDDD"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65" w:hRule="atLeast"/>
        </w:trPr>
        <w:tc>
          <w:tcPr>
            <w:tcW w:w="3080" w:type="dxa"/>
            <w:tcBorders>
              <w:left w:val="single" w:color="auto" w:sz="8" w:space="0"/>
              <w:bottom w:val="single" w:color="DDDDDD" w:sz="8" w:space="0"/>
              <w:right w:val="single" w:color="auto"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DDDDDD" w:sz="8" w:space="0"/>
            </w:tcBorders>
            <w:shd w:val="clear" w:color="auto" w:fill="DDDDDD"/>
            <w:vAlign w:val="bottom"/>
          </w:tcPr>
          <w:p>
            <w:pPr>
              <w:spacing w:line="0" w:lineRule="atLeast"/>
              <w:rPr>
                <w:lang w:val="sr-Cyrl-RS"/>
              </w:rPr>
            </w:pPr>
          </w:p>
        </w:tc>
        <w:tc>
          <w:tcPr>
            <w:tcW w:w="2860" w:type="dxa"/>
            <w:tcBorders>
              <w:bottom w:val="single" w:color="DDDDDD"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00" w:type="dxa"/>
            <w:tcBorders>
              <w:bottom w:val="single" w:color="DDDDDD" w:sz="8" w:space="0"/>
            </w:tcBorders>
            <w:shd w:val="clear" w:color="auto" w:fill="DDDDDD"/>
            <w:vAlign w:val="bottom"/>
          </w:tcPr>
          <w:p>
            <w:pPr>
              <w:spacing w:line="0" w:lineRule="atLeast"/>
              <w:rPr>
                <w:lang w:val="sr-Cyrl-RS"/>
              </w:rPr>
            </w:pPr>
          </w:p>
        </w:tc>
        <w:tc>
          <w:tcPr>
            <w:tcW w:w="140" w:type="dxa"/>
            <w:tcBorders>
              <w:bottom w:val="single" w:color="DDDDDD" w:sz="8" w:space="0"/>
              <w:right w:val="single" w:color="DDDDDD" w:sz="8" w:space="0"/>
            </w:tcBorders>
            <w:shd w:val="clear" w:color="auto" w:fill="DDDDDD"/>
            <w:vAlign w:val="bottom"/>
          </w:tcPr>
          <w:p>
            <w:pPr>
              <w:spacing w:line="0" w:lineRule="atLeast"/>
              <w:rPr>
                <w:lang w:val="sr-Cyrl-RS"/>
              </w:rPr>
            </w:pPr>
          </w:p>
        </w:tc>
        <w:tc>
          <w:tcPr>
            <w:tcW w:w="3100" w:type="dxa"/>
            <w:tcBorders>
              <w:bottom w:val="single" w:color="DDDDDD" w:sz="8" w:space="0"/>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top w:val="single" w:color="auto" w:sz="8" w:space="0"/>
              <w:bottom w:val="single" w:color="auto" w:sz="8" w:space="0"/>
            </w:tcBorders>
            <w:shd w:val="clear" w:color="auto" w:fill="auto"/>
            <w:vAlign w:val="bottom"/>
          </w:tcPr>
          <w:p>
            <w:pPr>
              <w:spacing w:line="0" w:lineRule="atLeast"/>
              <w:rPr>
                <w:lang w:val="sr-Cyrl-RS"/>
              </w:rPr>
            </w:pPr>
          </w:p>
        </w:tc>
        <w:tc>
          <w:tcPr>
            <w:tcW w:w="120" w:type="dxa"/>
            <w:tcBorders>
              <w:top w:val="single" w:color="auto" w:sz="8" w:space="0"/>
              <w:bottom w:val="single" w:color="auto" w:sz="8" w:space="0"/>
            </w:tcBorders>
            <w:shd w:val="clear" w:color="auto" w:fill="auto"/>
            <w:vAlign w:val="bottom"/>
          </w:tcPr>
          <w:p>
            <w:pPr>
              <w:spacing w:line="0" w:lineRule="atLeast"/>
              <w:rPr>
                <w:lang w:val="sr-Cyrl-RS"/>
              </w:rPr>
            </w:pPr>
          </w:p>
        </w:tc>
        <w:tc>
          <w:tcPr>
            <w:tcW w:w="2960" w:type="dxa"/>
            <w:gridSpan w:val="2"/>
            <w:tcBorders>
              <w:top w:val="single" w:color="auto" w:sz="8" w:space="0"/>
              <w:bottom w:val="single" w:color="auto" w:sz="8" w:space="0"/>
            </w:tcBorders>
            <w:shd w:val="clear" w:color="auto" w:fill="auto"/>
            <w:vAlign w:val="bottom"/>
          </w:tcPr>
          <w:p>
            <w:pPr>
              <w:spacing w:line="0" w:lineRule="atLeast"/>
              <w:rPr>
                <w:lang w:val="sr-Cyrl-RS"/>
              </w:rPr>
            </w:pPr>
          </w:p>
        </w:tc>
        <w:tc>
          <w:tcPr>
            <w:tcW w:w="140" w:type="dxa"/>
            <w:tcBorders>
              <w:top w:val="single" w:color="auto" w:sz="8" w:space="0"/>
              <w:bottom w:val="single" w:color="auto" w:sz="8" w:space="0"/>
            </w:tcBorders>
            <w:shd w:val="clear" w:color="auto" w:fill="auto"/>
            <w:vAlign w:val="bottom"/>
          </w:tcPr>
          <w:p>
            <w:pPr>
              <w:spacing w:line="0" w:lineRule="atLeast"/>
              <w:rPr>
                <w:lang w:val="sr-Cyrl-RS"/>
              </w:rPr>
            </w:pPr>
          </w:p>
        </w:tc>
        <w:tc>
          <w:tcPr>
            <w:tcW w:w="3100" w:type="dxa"/>
            <w:tcBorders>
              <w:top w:val="single" w:color="auto" w:sz="8" w:space="0"/>
              <w:bottom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3080" w:type="dxa"/>
            <w:tcBorders>
              <w:lef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18.Пружаоци услуга</w:t>
            </w:r>
          </w:p>
        </w:tc>
        <w:tc>
          <w:tcPr>
            <w:tcW w:w="120" w:type="dxa"/>
            <w:tcBorders>
              <w:right w:val="single" w:color="auto" w:sz="8" w:space="0"/>
            </w:tcBorders>
            <w:shd w:val="clear" w:color="auto" w:fill="auto"/>
            <w:vAlign w:val="bottom"/>
          </w:tcPr>
          <w:p>
            <w:pPr>
              <w:spacing w:line="0" w:lineRule="atLeast"/>
              <w:rPr>
                <w:sz w:val="23"/>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Повећање туристичког промета,</w:t>
            </w:r>
          </w:p>
        </w:tc>
        <w:tc>
          <w:tcPr>
            <w:tcW w:w="140" w:type="dxa"/>
            <w:tcBorders>
              <w:right w:val="single" w:color="auto" w:sz="8" w:space="0"/>
            </w:tcBorders>
            <w:shd w:val="clear" w:color="auto" w:fill="auto"/>
            <w:vAlign w:val="bottom"/>
          </w:tcPr>
          <w:p>
            <w:pPr>
              <w:spacing w:line="0" w:lineRule="atLeast"/>
              <w:rPr>
                <w:sz w:val="23"/>
                <w:lang w:val="sr-Cyrl-RS"/>
              </w:rPr>
            </w:pPr>
          </w:p>
        </w:tc>
        <w:tc>
          <w:tcPr>
            <w:tcW w:w="310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Побољшањем квалитета</w:t>
            </w:r>
          </w:p>
        </w:tc>
      </w:tr>
      <w:tr>
        <w:tblPrEx>
          <w:tblCellMar>
            <w:top w:w="0" w:type="dxa"/>
            <w:left w:w="0" w:type="dxa"/>
            <w:bottom w:w="0" w:type="dxa"/>
            <w:right w:w="0" w:type="dxa"/>
          </w:tblCellMar>
        </w:tblPrEx>
        <w:trPr>
          <w:trHeight w:val="315" w:hRule="atLeast"/>
        </w:trPr>
        <w:tc>
          <w:tcPr>
            <w:tcW w:w="3080" w:type="dxa"/>
            <w:tcBorders>
              <w:lef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смештаја у домаћој</w:t>
            </w: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понуде смештајних</w:t>
            </w:r>
          </w:p>
        </w:tc>
      </w:tr>
      <w:tr>
        <w:tblPrEx>
          <w:tblCellMar>
            <w:top w:w="0" w:type="dxa"/>
            <w:left w:w="0" w:type="dxa"/>
            <w:bottom w:w="0" w:type="dxa"/>
            <w:right w:w="0" w:type="dxa"/>
          </w:tblCellMar>
        </w:tblPrEx>
        <w:trPr>
          <w:trHeight w:val="320" w:hRule="atLeast"/>
        </w:trPr>
        <w:tc>
          <w:tcPr>
            <w:tcW w:w="3080" w:type="dxa"/>
            <w:tcBorders>
              <w:left w:val="single" w:color="auto" w:sz="8" w:space="0"/>
            </w:tcBorders>
            <w:shd w:val="clear" w:color="auto" w:fill="auto"/>
            <w:vAlign w:val="bottom"/>
          </w:tcPr>
          <w:p>
            <w:pPr>
              <w:spacing w:line="0" w:lineRule="atLeast"/>
              <w:rPr>
                <w:rFonts w:ascii="Arial" w:hAnsi="Arial" w:eastAsia="Arial"/>
                <w:b/>
                <w:lang w:val="sr-Cyrl-RS"/>
              </w:rPr>
            </w:pPr>
            <w:r>
              <w:rPr>
                <w:rFonts w:ascii="Arial" w:hAnsi="Arial" w:eastAsia="Arial"/>
                <w:b/>
                <w:lang w:val="sr-Cyrl-RS"/>
              </w:rPr>
              <w:t>радиности</w:t>
            </w: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директно утиче на</w:t>
            </w: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 xml:space="preserve">Капацитета повећаће задовољство туриста на дестинацији. </w:t>
            </w:r>
          </w:p>
        </w:tc>
      </w:tr>
      <w:tr>
        <w:tblPrEx>
          <w:tblCellMar>
            <w:top w:w="0" w:type="dxa"/>
            <w:left w:w="0" w:type="dxa"/>
            <w:bottom w:w="0" w:type="dxa"/>
            <w:right w:w="0" w:type="dxa"/>
          </w:tblCellMar>
        </w:tblPrEx>
        <w:trPr>
          <w:trHeight w:val="315"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повећање прихода</w:t>
            </w: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пружаоца услуга</w:t>
            </w: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315"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смештаја.</w:t>
            </w: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1"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Оцена интереса: 5</w:t>
            </w: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3100" w:type="dxa"/>
            <w:gridSpan w:val="3"/>
            <w:tcBorders>
              <w:right w:val="single" w:color="auto" w:sz="8" w:space="0"/>
            </w:tcBorders>
            <w:shd w:val="clear" w:color="auto" w:fill="auto"/>
            <w:vAlign w:val="bottom"/>
          </w:tcPr>
          <w:p>
            <w:pPr>
              <w:spacing w:line="0" w:lineRule="atLeast"/>
              <w:rPr>
                <w:rFonts w:ascii="Arial" w:hAnsi="Arial" w:eastAsia="Arial"/>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20"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315" w:hRule="atLeast"/>
        </w:trPr>
        <w:tc>
          <w:tcPr>
            <w:tcW w:w="3080" w:type="dxa"/>
            <w:tcBorders>
              <w:left w:val="single" w:color="auto" w:sz="8" w:space="0"/>
            </w:tcBorders>
            <w:shd w:val="clear" w:color="auto" w:fill="auto"/>
            <w:vAlign w:val="bottom"/>
          </w:tcPr>
          <w:p>
            <w:pPr>
              <w:spacing w:line="0" w:lineRule="atLeast"/>
              <w:rPr>
                <w:lang w:val="sr-Cyrl-RS"/>
              </w:rPr>
            </w:pPr>
          </w:p>
        </w:tc>
        <w:tc>
          <w:tcPr>
            <w:tcW w:w="120" w:type="dxa"/>
            <w:tcBorders>
              <w:right w:val="single" w:color="auto" w:sz="8" w:space="0"/>
            </w:tcBorders>
            <w:shd w:val="clear" w:color="auto" w:fill="auto"/>
            <w:vAlign w:val="bottom"/>
          </w:tcPr>
          <w:p>
            <w:pPr>
              <w:spacing w:line="0" w:lineRule="atLeast"/>
              <w:rPr>
                <w:lang w:val="sr-Cyrl-RS"/>
              </w:rPr>
            </w:pPr>
          </w:p>
        </w:tc>
        <w:tc>
          <w:tcPr>
            <w:tcW w:w="2960" w:type="dxa"/>
            <w:gridSpan w:val="2"/>
            <w:shd w:val="clear" w:color="auto" w:fill="auto"/>
            <w:vAlign w:val="bottom"/>
          </w:tcPr>
          <w:p>
            <w:pPr>
              <w:spacing w:line="0" w:lineRule="atLeast"/>
              <w:rPr>
                <w:rFonts w:ascii="Arial" w:hAnsi="Arial" w:eastAsia="Arial"/>
                <w:lang w:val="sr-Cyrl-RS"/>
              </w:rPr>
            </w:pPr>
            <w:r>
              <w:rPr>
                <w:rFonts w:ascii="Arial" w:hAnsi="Arial" w:eastAsia="Arial"/>
                <w:lang w:val="sr-Cyrl-RS"/>
              </w:rPr>
              <w:t>Оцена утицаја: 2</w:t>
            </w:r>
          </w:p>
        </w:tc>
        <w:tc>
          <w:tcPr>
            <w:tcW w:w="140" w:type="dxa"/>
            <w:tcBorders>
              <w:right w:val="single" w:color="auto" w:sz="8" w:space="0"/>
            </w:tcBorders>
            <w:shd w:val="clear" w:color="auto" w:fill="auto"/>
            <w:vAlign w:val="bottom"/>
          </w:tcPr>
          <w:p>
            <w:pPr>
              <w:spacing w:line="0" w:lineRule="atLeast"/>
              <w:rPr>
                <w:lang w:val="sr-Cyrl-RS"/>
              </w:rPr>
            </w:pPr>
          </w:p>
        </w:tc>
        <w:tc>
          <w:tcPr>
            <w:tcW w:w="3100" w:type="dxa"/>
            <w:tcBorders>
              <w:right w:val="single" w:color="auto" w:sz="8" w:space="0"/>
            </w:tcBorders>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5" w:hRule="atLeast"/>
        </w:trPr>
        <w:tc>
          <w:tcPr>
            <w:tcW w:w="3080" w:type="dxa"/>
            <w:tcBorders>
              <w:left w:val="single" w:color="auto" w:sz="8" w:space="0"/>
              <w:bottom w:val="single" w:color="auto" w:sz="8" w:space="0"/>
            </w:tcBorders>
            <w:shd w:val="clear" w:color="auto" w:fill="auto"/>
            <w:vAlign w:val="bottom"/>
          </w:tcPr>
          <w:p>
            <w:pPr>
              <w:spacing w:line="0" w:lineRule="atLeast"/>
              <w:rPr>
                <w:sz w:val="3"/>
                <w:lang w:val="sr-Cyrl-RS"/>
              </w:rPr>
            </w:pPr>
          </w:p>
        </w:tc>
        <w:tc>
          <w:tcPr>
            <w:tcW w:w="12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2960" w:type="dxa"/>
            <w:gridSpan w:val="2"/>
            <w:tcBorders>
              <w:bottom w:val="single" w:color="auto" w:sz="8" w:space="0"/>
            </w:tcBorders>
            <w:shd w:val="clear" w:color="auto" w:fill="auto"/>
            <w:vAlign w:val="bottom"/>
          </w:tcPr>
          <w:p>
            <w:pPr>
              <w:spacing w:line="0" w:lineRule="atLeast"/>
              <w:rPr>
                <w:sz w:val="3"/>
                <w:lang w:val="sr-Cyrl-RS"/>
              </w:rPr>
            </w:pPr>
          </w:p>
        </w:tc>
        <w:tc>
          <w:tcPr>
            <w:tcW w:w="140" w:type="dxa"/>
            <w:tcBorders>
              <w:bottom w:val="single" w:color="auto" w:sz="8" w:space="0"/>
              <w:right w:val="single" w:color="auto" w:sz="8" w:space="0"/>
            </w:tcBorders>
            <w:shd w:val="clear" w:color="auto" w:fill="auto"/>
            <w:vAlign w:val="bottom"/>
          </w:tcPr>
          <w:p>
            <w:pPr>
              <w:spacing w:line="0" w:lineRule="atLeast"/>
              <w:rPr>
                <w:sz w:val="3"/>
                <w:lang w:val="sr-Cyrl-RS"/>
              </w:rPr>
            </w:pPr>
          </w:p>
        </w:tc>
        <w:tc>
          <w:tcPr>
            <w:tcW w:w="3100" w:type="dxa"/>
            <w:tcBorders>
              <w:bottom w:val="single" w:color="auto" w:sz="8" w:space="0"/>
              <w:right w:val="single" w:color="auto" w:sz="8" w:space="0"/>
            </w:tcBorders>
            <w:shd w:val="clear" w:color="auto" w:fill="auto"/>
            <w:vAlign w:val="bottom"/>
          </w:tcPr>
          <w:p>
            <w:pPr>
              <w:spacing w:line="0" w:lineRule="atLeast"/>
              <w:rPr>
                <w:sz w:val="3"/>
                <w:lang w:val="sr-Cyrl-RS"/>
              </w:rPr>
            </w:pPr>
          </w:p>
        </w:tc>
      </w:tr>
      <w:tr>
        <w:trPr>
          <w:trHeight w:val="275"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highlight w:val="lightGray"/>
                <w:lang w:val="sr-Cyrl-RS"/>
              </w:rPr>
            </w:pPr>
            <w:r>
              <w:rPr>
                <w:rFonts w:ascii="Arial" w:hAnsi="Arial" w:eastAsia="Arial"/>
                <w:b/>
                <w:highlight w:val="lightGray"/>
                <w:lang w:val="sr-Cyrl-RS"/>
              </w:rPr>
              <w:t>19.НВО регистроване за</w:t>
            </w:r>
          </w:p>
        </w:tc>
        <w:tc>
          <w:tcPr>
            <w:tcW w:w="120" w:type="dxa"/>
            <w:tcBorders>
              <w:right w:val="single" w:color="auto" w:sz="8" w:space="0"/>
            </w:tcBorders>
            <w:shd w:val="clear" w:color="auto" w:fill="DDDDDD"/>
            <w:vAlign w:val="bottom"/>
          </w:tcPr>
          <w:p>
            <w:pPr>
              <w:spacing w:line="0" w:lineRule="atLeast"/>
              <w:rPr>
                <w:sz w:val="23"/>
                <w:lang w:val="sr-Cyrl-RS"/>
              </w:rPr>
            </w:pPr>
          </w:p>
        </w:tc>
        <w:tc>
          <w:tcPr>
            <w:tcW w:w="296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Имплементација</w:t>
            </w:r>
          </w:p>
        </w:tc>
        <w:tc>
          <w:tcPr>
            <w:tcW w:w="140" w:type="dxa"/>
            <w:tcBorders>
              <w:right w:val="single" w:color="auto" w:sz="8" w:space="0"/>
            </w:tcBorders>
            <w:shd w:val="clear" w:color="auto" w:fill="DDDDDD"/>
            <w:vAlign w:val="bottom"/>
          </w:tcPr>
          <w:p>
            <w:pPr>
              <w:spacing w:line="0" w:lineRule="atLeast"/>
              <w:rPr>
                <w:sz w:val="23"/>
                <w:lang w:val="sr-Cyrl-RS"/>
              </w:rPr>
            </w:pPr>
          </w:p>
        </w:tc>
        <w:tc>
          <w:tcPr>
            <w:tcW w:w="310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Уколико спроводе</w:t>
            </w: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очување природе,</w:t>
            </w:r>
          </w:p>
        </w:tc>
        <w:tc>
          <w:tcPr>
            <w:tcW w:w="120" w:type="dxa"/>
            <w:tcBorders>
              <w:right w:val="single" w:color="auto" w:sz="8" w:space="0"/>
            </w:tcBorders>
            <w:shd w:val="clear" w:color="auto" w:fill="DDDDDD"/>
            <w:vAlign w:val="bottom"/>
          </w:tcPr>
          <w:p>
            <w:pPr>
              <w:spacing w:line="0" w:lineRule="atLeast"/>
              <w:rPr>
                <w:lang w:val="sr-Cyrl-RS"/>
              </w:rPr>
            </w:pPr>
          </w:p>
        </w:tc>
        <w:tc>
          <w:tcPr>
            <w:tcW w:w="296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пројектних и других</w:t>
            </w:r>
          </w:p>
        </w:tc>
        <w:tc>
          <w:tcPr>
            <w:tcW w:w="140" w:type="dxa"/>
            <w:tcBorders>
              <w:right w:val="single" w:color="auto"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пројектне и друге</w:t>
            </w: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унапређење културе</w:t>
            </w:r>
          </w:p>
        </w:tc>
        <w:tc>
          <w:tcPr>
            <w:tcW w:w="120" w:type="dxa"/>
            <w:tcBorders>
              <w:right w:val="single" w:color="auto" w:sz="8" w:space="0"/>
            </w:tcBorders>
            <w:shd w:val="clear" w:color="auto" w:fill="DDDDDD"/>
            <w:vAlign w:val="bottom"/>
          </w:tcPr>
          <w:p>
            <w:pPr>
              <w:spacing w:line="0" w:lineRule="atLeast"/>
              <w:rPr>
                <w:lang w:val="sr-Cyrl-RS"/>
              </w:rPr>
            </w:pPr>
          </w:p>
        </w:tc>
        <w:tc>
          <w:tcPr>
            <w:tcW w:w="296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активности на простору</w:t>
            </w:r>
          </w:p>
        </w:tc>
        <w:tc>
          <w:tcPr>
            <w:tcW w:w="140" w:type="dxa"/>
            <w:tcBorders>
              <w:right w:val="single" w:color="auto"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активности НВО значај</w:t>
            </w: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и туризма,</w:t>
            </w:r>
          </w:p>
        </w:tc>
        <w:tc>
          <w:tcPr>
            <w:tcW w:w="120" w:type="dxa"/>
            <w:tcBorders>
              <w:right w:val="single" w:color="auto" w:sz="8" w:space="0"/>
            </w:tcBorders>
            <w:shd w:val="clear" w:color="auto" w:fill="DDDDDD"/>
            <w:vAlign w:val="bottom"/>
          </w:tcPr>
          <w:p>
            <w:pPr>
              <w:spacing w:line="0" w:lineRule="atLeast"/>
              <w:rPr>
                <w:lang w:val="sr-Cyrl-RS"/>
              </w:rPr>
            </w:pPr>
          </w:p>
        </w:tc>
        <w:tc>
          <w:tcPr>
            <w:tcW w:w="296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дестинације</w:t>
            </w:r>
          </w:p>
        </w:tc>
        <w:tc>
          <w:tcPr>
            <w:tcW w:w="140" w:type="dxa"/>
            <w:tcBorders>
              <w:right w:val="single" w:color="auto"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утицаја се мери</w:t>
            </w: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планинарење,</w:t>
            </w:r>
          </w:p>
        </w:tc>
        <w:tc>
          <w:tcPr>
            <w:tcW w:w="120" w:type="dxa"/>
            <w:tcBorders>
              <w:right w:val="single" w:color="auto" w:sz="8" w:space="0"/>
            </w:tcBorders>
            <w:shd w:val="clear" w:color="auto" w:fill="DDDDDD"/>
            <w:vAlign w:val="bottom"/>
          </w:tcPr>
          <w:p>
            <w:pPr>
              <w:spacing w:line="0" w:lineRule="atLeast"/>
              <w:rPr>
                <w:lang w:val="sr-Cyrl-RS"/>
              </w:rPr>
            </w:pPr>
          </w:p>
        </w:tc>
        <w:tc>
          <w:tcPr>
            <w:tcW w:w="296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Оцена интереса: 3</w:t>
            </w:r>
          </w:p>
        </w:tc>
        <w:tc>
          <w:tcPr>
            <w:tcW w:w="140" w:type="dxa"/>
            <w:tcBorders>
              <w:right w:val="single" w:color="auto"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квалитетом спроведених</w:t>
            </w:r>
          </w:p>
        </w:tc>
      </w:tr>
      <w:tr>
        <w:tblPrEx>
          <w:tblCellMar>
            <w:top w:w="0" w:type="dxa"/>
            <w:left w:w="0" w:type="dxa"/>
            <w:bottom w:w="0" w:type="dxa"/>
            <w:right w:w="0" w:type="dxa"/>
          </w:tblCellMar>
        </w:tblPrEx>
        <w:trPr>
          <w:trHeight w:val="315"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очување традиције и</w:t>
            </w:r>
          </w:p>
        </w:tc>
        <w:tc>
          <w:tcPr>
            <w:tcW w:w="120" w:type="dxa"/>
            <w:tcBorders>
              <w:right w:val="single" w:color="auto" w:sz="8" w:space="0"/>
            </w:tcBorders>
            <w:shd w:val="clear" w:color="auto" w:fill="DDDDDD"/>
            <w:vAlign w:val="bottom"/>
          </w:tcPr>
          <w:p>
            <w:pPr>
              <w:spacing w:line="0" w:lineRule="atLeast"/>
              <w:rPr>
                <w:lang w:val="sr-Cyrl-RS"/>
              </w:rPr>
            </w:pPr>
          </w:p>
        </w:tc>
        <w:tc>
          <w:tcPr>
            <w:tcW w:w="3100" w:type="dxa"/>
            <w:gridSpan w:val="3"/>
            <w:tcBorders>
              <w:right w:val="single" w:color="auto" w:sz="8" w:space="0"/>
            </w:tcBorders>
            <w:shd w:val="clear" w:color="auto" w:fill="DDDDDD"/>
            <w:vAlign w:val="bottom"/>
          </w:tcPr>
          <w:p>
            <w:pPr>
              <w:spacing w:line="0" w:lineRule="atLeast"/>
              <w:rPr>
                <w:rFonts w:ascii="Arial" w:hAnsi="Arial" w:eastAsia="Arial"/>
                <w:highlight w:val="lightGray"/>
                <w:lang w:val="sr-Cyrl-RS"/>
              </w:rPr>
            </w:pPr>
            <w:r>
              <w:rPr>
                <w:rFonts w:ascii="Arial" w:hAnsi="Arial" w:eastAsia="Arial"/>
                <w:highlight w:val="lightGray"/>
                <w:lang w:val="sr-Cyrl-RS"/>
              </w:rPr>
              <w:t>Немају утицај у креирању</w:t>
            </w:r>
          </w:p>
        </w:tc>
        <w:tc>
          <w:tcPr>
            <w:tcW w:w="3100" w:type="dxa"/>
            <w:tcBorders>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активности.</w:t>
            </w:r>
          </w:p>
        </w:tc>
      </w:tr>
      <w:tr>
        <w:tblPrEx>
          <w:tblCellMar>
            <w:top w:w="0" w:type="dxa"/>
            <w:left w:w="0" w:type="dxa"/>
            <w:bottom w:w="0" w:type="dxa"/>
            <w:right w:w="0" w:type="dxa"/>
          </w:tblCellMar>
        </w:tblPrEx>
        <w:trPr>
          <w:trHeight w:val="320" w:hRule="atLeast"/>
        </w:trPr>
        <w:tc>
          <w:tcPr>
            <w:tcW w:w="3080" w:type="dxa"/>
            <w:tcBorders>
              <w:left w:val="single" w:color="auto" w:sz="8" w:space="0"/>
              <w:right w:val="single" w:color="DDDDDD" w:sz="8" w:space="0"/>
            </w:tcBorders>
            <w:shd w:val="clear" w:color="auto" w:fill="DDDDDD"/>
            <w:vAlign w:val="bottom"/>
          </w:tcPr>
          <w:p>
            <w:pPr>
              <w:spacing w:line="0" w:lineRule="atLeast"/>
              <w:rPr>
                <w:rFonts w:ascii="Arial" w:hAnsi="Arial" w:eastAsia="Arial"/>
                <w:b/>
                <w:lang w:val="sr-Cyrl-RS"/>
              </w:rPr>
            </w:pPr>
            <w:r>
              <w:rPr>
                <w:rFonts w:ascii="Arial" w:hAnsi="Arial" w:eastAsia="Arial"/>
                <w:b/>
                <w:lang w:val="sr-Cyrl-RS"/>
              </w:rPr>
              <w:t>друго</w:t>
            </w:r>
          </w:p>
        </w:tc>
        <w:tc>
          <w:tcPr>
            <w:tcW w:w="120" w:type="dxa"/>
            <w:tcBorders>
              <w:right w:val="single" w:color="auto" w:sz="8" w:space="0"/>
            </w:tcBorders>
            <w:shd w:val="clear" w:color="auto" w:fill="DDDDDD"/>
            <w:vAlign w:val="bottom"/>
          </w:tcPr>
          <w:p>
            <w:pPr>
              <w:spacing w:line="0" w:lineRule="atLeast"/>
              <w:rPr>
                <w:lang w:val="sr-Cyrl-RS"/>
              </w:rPr>
            </w:pPr>
          </w:p>
        </w:tc>
        <w:tc>
          <w:tcPr>
            <w:tcW w:w="2960" w:type="dxa"/>
            <w:gridSpan w:val="2"/>
            <w:shd w:val="clear" w:color="auto" w:fill="DDDDDD"/>
            <w:vAlign w:val="bottom"/>
          </w:tcPr>
          <w:p>
            <w:pPr>
              <w:spacing w:line="0" w:lineRule="atLeast"/>
              <w:rPr>
                <w:rFonts w:ascii="Arial" w:hAnsi="Arial" w:eastAsia="Arial"/>
                <w:lang w:val="sr-Cyrl-RS"/>
              </w:rPr>
            </w:pPr>
            <w:r>
              <w:rPr>
                <w:rFonts w:ascii="Arial" w:hAnsi="Arial" w:eastAsia="Arial"/>
                <w:lang w:val="sr-Cyrl-RS"/>
              </w:rPr>
              <w:t>и доношењу одлука.</w:t>
            </w:r>
          </w:p>
        </w:tc>
        <w:tc>
          <w:tcPr>
            <w:tcW w:w="140" w:type="dxa"/>
            <w:tcBorders>
              <w:right w:val="single" w:color="auto" w:sz="8" w:space="0"/>
            </w:tcBorders>
            <w:shd w:val="clear" w:color="auto" w:fill="DDDDDD"/>
            <w:vAlign w:val="bottom"/>
          </w:tcPr>
          <w:p>
            <w:pPr>
              <w:spacing w:line="0" w:lineRule="atLeast"/>
              <w:rPr>
                <w:lang w:val="sr-Cyrl-RS"/>
              </w:rPr>
            </w:pPr>
          </w:p>
        </w:tc>
        <w:tc>
          <w:tcPr>
            <w:tcW w:w="3100" w:type="dxa"/>
            <w:tcBorders>
              <w:right w:val="single" w:color="auto" w:sz="8" w:space="0"/>
            </w:tcBorders>
            <w:shd w:val="clear" w:color="auto" w:fill="DDDDDD"/>
            <w:vAlign w:val="bottom"/>
          </w:tcPr>
          <w:p>
            <w:pPr>
              <w:spacing w:line="0" w:lineRule="atLeast"/>
              <w:rPr>
                <w:lang w:val="sr-Cyrl-RS"/>
              </w:rPr>
            </w:pPr>
          </w:p>
        </w:tc>
      </w:tr>
      <w:tr>
        <w:tblPrEx>
          <w:tblCellMar>
            <w:top w:w="0" w:type="dxa"/>
            <w:left w:w="0" w:type="dxa"/>
            <w:bottom w:w="0" w:type="dxa"/>
            <w:right w:w="0" w:type="dxa"/>
          </w:tblCellMar>
        </w:tblPrEx>
        <w:trPr>
          <w:trHeight w:val="340" w:hRule="atLeast"/>
        </w:trPr>
        <w:tc>
          <w:tcPr>
            <w:tcW w:w="3080" w:type="dxa"/>
            <w:tcBorders>
              <w:left w:val="single" w:color="auto" w:sz="8" w:space="0"/>
              <w:bottom w:val="single" w:color="DDDDDD" w:sz="8" w:space="0"/>
              <w:right w:val="single" w:color="DDDDDD" w:sz="8" w:space="0"/>
            </w:tcBorders>
            <w:shd w:val="clear" w:color="auto" w:fill="DDDDDD"/>
            <w:vAlign w:val="bottom"/>
          </w:tcPr>
          <w:p>
            <w:pPr>
              <w:spacing w:line="0" w:lineRule="atLeast"/>
              <w:rPr>
                <w:lang w:val="sr-Cyrl-RS"/>
              </w:rPr>
            </w:pPr>
          </w:p>
        </w:tc>
        <w:tc>
          <w:tcPr>
            <w:tcW w:w="12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2960" w:type="dxa"/>
            <w:gridSpan w:val="2"/>
            <w:tcBorders>
              <w:bottom w:val="single" w:color="DDDDDD"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Оцена утицаја: 1</w:t>
            </w:r>
          </w:p>
        </w:tc>
        <w:tc>
          <w:tcPr>
            <w:tcW w:w="140" w:type="dxa"/>
            <w:tcBorders>
              <w:bottom w:val="single" w:color="DDDDDD" w:sz="8" w:space="0"/>
              <w:right w:val="single" w:color="auto" w:sz="8" w:space="0"/>
            </w:tcBorders>
            <w:shd w:val="clear" w:color="auto" w:fill="DDDDDD"/>
            <w:vAlign w:val="bottom"/>
          </w:tcPr>
          <w:p>
            <w:pPr>
              <w:spacing w:line="0" w:lineRule="atLeast"/>
              <w:rPr>
                <w:lang w:val="sr-Cyrl-RS"/>
              </w:rPr>
            </w:pPr>
          </w:p>
        </w:tc>
        <w:tc>
          <w:tcPr>
            <w:tcW w:w="3100" w:type="dxa"/>
            <w:tcBorders>
              <w:bottom w:val="single" w:color="DDDDDD" w:sz="8" w:space="0"/>
              <w:right w:val="single" w:color="auto" w:sz="8" w:space="0"/>
            </w:tcBorders>
            <w:shd w:val="clear" w:color="auto" w:fill="DDDDDD"/>
            <w:vAlign w:val="bottom"/>
          </w:tcPr>
          <w:p>
            <w:pPr>
              <w:spacing w:line="0" w:lineRule="atLeast"/>
              <w:rPr>
                <w:rFonts w:ascii="Arial" w:hAnsi="Arial" w:eastAsia="Arial"/>
                <w:lang w:val="sr-Cyrl-RS"/>
              </w:rPr>
            </w:pPr>
            <w:r>
              <w:rPr>
                <w:rFonts w:ascii="Arial" w:hAnsi="Arial" w:eastAsia="Arial"/>
                <w:lang w:val="sr-Cyrl-RS"/>
              </w:rPr>
              <w:t>Степен подршке: 1</w:t>
            </w:r>
          </w:p>
        </w:tc>
      </w:tr>
      <w:tr>
        <w:tblPrEx>
          <w:tblCellMar>
            <w:top w:w="0" w:type="dxa"/>
            <w:left w:w="0" w:type="dxa"/>
            <w:bottom w:w="0" w:type="dxa"/>
            <w:right w:w="0" w:type="dxa"/>
          </w:tblCellMar>
        </w:tblPrEx>
        <w:trPr>
          <w:trHeight w:val="20" w:hRule="atLeast"/>
        </w:trPr>
        <w:tc>
          <w:tcPr>
            <w:tcW w:w="3080" w:type="dxa"/>
            <w:tcBorders>
              <w:left w:val="single" w:color="auto" w:sz="8" w:space="0"/>
              <w:right w:val="single" w:color="auto" w:sz="8" w:space="0"/>
            </w:tcBorders>
            <w:shd w:val="clear" w:color="auto" w:fill="000000"/>
            <w:vAlign w:val="bottom"/>
          </w:tcPr>
          <w:p>
            <w:pPr>
              <w:spacing w:line="20" w:lineRule="exact"/>
              <w:rPr>
                <w:sz w:val="1"/>
                <w:lang w:val="sr-Cyrl-RS"/>
              </w:rPr>
            </w:pPr>
          </w:p>
        </w:tc>
        <w:tc>
          <w:tcPr>
            <w:tcW w:w="120" w:type="dxa"/>
            <w:tcBorders>
              <w:right w:val="single" w:color="auto" w:sz="8" w:space="0"/>
            </w:tcBorders>
            <w:shd w:val="clear" w:color="auto" w:fill="000000"/>
            <w:vAlign w:val="bottom"/>
          </w:tcPr>
          <w:p>
            <w:pPr>
              <w:spacing w:line="20" w:lineRule="exact"/>
              <w:rPr>
                <w:sz w:val="1"/>
                <w:lang w:val="sr-Cyrl-RS"/>
              </w:rPr>
            </w:pPr>
          </w:p>
        </w:tc>
        <w:tc>
          <w:tcPr>
            <w:tcW w:w="2860" w:type="dxa"/>
            <w:tcBorders>
              <w:right w:val="single" w:color="auto" w:sz="8" w:space="0"/>
            </w:tcBorders>
            <w:shd w:val="clear" w:color="auto" w:fill="000000"/>
            <w:vAlign w:val="bottom"/>
          </w:tcPr>
          <w:p>
            <w:pPr>
              <w:spacing w:line="20" w:lineRule="exact"/>
              <w:rPr>
                <w:sz w:val="1"/>
                <w:lang w:val="sr-Cyrl-RS"/>
              </w:rPr>
            </w:pPr>
          </w:p>
        </w:tc>
        <w:tc>
          <w:tcPr>
            <w:tcW w:w="100" w:type="dxa"/>
            <w:shd w:val="clear" w:color="auto" w:fill="000000"/>
            <w:vAlign w:val="bottom"/>
          </w:tcPr>
          <w:p>
            <w:pPr>
              <w:spacing w:line="20" w:lineRule="exact"/>
              <w:rPr>
                <w:sz w:val="1"/>
                <w:lang w:val="sr-Cyrl-RS"/>
              </w:rPr>
            </w:pPr>
          </w:p>
        </w:tc>
        <w:tc>
          <w:tcPr>
            <w:tcW w:w="140" w:type="dxa"/>
            <w:tcBorders>
              <w:right w:val="single" w:color="auto" w:sz="8" w:space="0"/>
            </w:tcBorders>
            <w:shd w:val="clear" w:color="auto" w:fill="000000"/>
            <w:vAlign w:val="bottom"/>
          </w:tcPr>
          <w:p>
            <w:pPr>
              <w:spacing w:line="20" w:lineRule="exact"/>
              <w:rPr>
                <w:sz w:val="1"/>
                <w:lang w:val="sr-Cyrl-RS"/>
              </w:rPr>
            </w:pPr>
          </w:p>
        </w:tc>
        <w:tc>
          <w:tcPr>
            <w:tcW w:w="3100" w:type="dxa"/>
            <w:tcBorders>
              <w:right w:val="single" w:color="auto" w:sz="8" w:space="0"/>
            </w:tcBorders>
            <w:shd w:val="clear" w:color="auto" w:fill="000000"/>
            <w:vAlign w:val="bottom"/>
          </w:tcPr>
          <w:p>
            <w:pPr>
              <w:spacing w:line="20" w:lineRule="exact"/>
              <w:rPr>
                <w:sz w:val="1"/>
                <w:lang w:val="sr-Cyrl-RS"/>
              </w:rPr>
            </w:pPr>
          </w:p>
        </w:tc>
      </w:tr>
    </w:tbl>
    <w:p>
      <w:pPr>
        <w:spacing w:line="237" w:lineRule="auto"/>
        <w:rPr>
          <w:rFonts w:ascii="Arial" w:hAnsi="Arial" w:eastAsia="Arial"/>
          <w:i/>
          <w:lang w:val="sr-Cyrl-RS"/>
        </w:rPr>
      </w:pPr>
      <w:r>
        <w:rPr>
          <w:rFonts w:ascii="Arial" w:hAnsi="Arial" w:eastAsia="Arial"/>
          <w:i/>
          <w:lang w:val="sr-Cyrl-RS"/>
        </w:rPr>
        <w:t>Табела 8, Листа стејкхолдера, извор:“VTC”</w:t>
      </w:r>
    </w:p>
    <w:p>
      <w:pPr>
        <w:spacing w:line="200" w:lineRule="exact"/>
        <w:rPr>
          <w:lang w:val="sr-Cyrl-RS"/>
        </w:rPr>
      </w:pPr>
    </w:p>
    <w:p>
      <w:pPr>
        <w:spacing w:line="288" w:lineRule="exact"/>
        <w:rPr>
          <w:lang w:val="sr-Cyrl-RS"/>
        </w:rPr>
      </w:pPr>
    </w:p>
    <w:p>
      <w:pPr>
        <w:spacing w:line="268" w:lineRule="auto"/>
        <w:ind w:right="800"/>
        <w:rPr>
          <w:rFonts w:ascii="Arial" w:hAnsi="Arial" w:eastAsia="Arial"/>
          <w:lang w:val="sr-Cyrl-RS"/>
        </w:rPr>
      </w:pPr>
      <w:r>
        <w:rPr>
          <w:rFonts w:ascii="Arial" w:hAnsi="Arial" w:eastAsia="Arial"/>
          <w:lang w:val="sr-Cyrl-RS"/>
        </w:rPr>
        <w:t>Остали стејкхолдери, који се могу означити као пријатељи, а који доприносе значајно туристичкој понуди:</w:t>
      </w:r>
    </w:p>
    <w:p>
      <w:pPr>
        <w:spacing w:line="0" w:lineRule="atLeast"/>
        <w:rPr>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Медији</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Хотели , мотели и други облици пружања услуга смештаја</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РАРИС -Регионална агенција за развој источне Србије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Привредна комора Србије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Ловачки савез Србије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ЈП Србија воде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ЈП Србија шуме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Месне заједнице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Републички завод за заштиту природе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Осигуравајуће куће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Кампинг асоцијација Србије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Планинарски савез Србије</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Спортска друштва и клубови екстремних спортова</w:t>
      </w:r>
    </w:p>
    <w:p>
      <w:pPr>
        <w:spacing w:line="0" w:lineRule="atLeast"/>
        <w:rPr>
          <w:rFonts w:ascii="Arial" w:hAnsi="Arial"/>
          <w:lang w:val="sr-Cyrl-RS"/>
        </w:rPr>
      </w:pPr>
    </w:p>
    <w:p>
      <w:pPr>
        <w:spacing w:line="0" w:lineRule="atLeast"/>
        <w:rPr>
          <w:rFonts w:ascii="Arial" w:hAnsi="Arial"/>
          <w:lang w:val="sr-Cyrl-RS"/>
        </w:rPr>
      </w:pPr>
      <w:r>
        <w:rPr>
          <w:rFonts w:ascii="Arial" w:hAnsi="Arial"/>
          <w:lang w:val="sr-Cyrl-RS"/>
        </w:rPr>
        <w:t>▪</w:t>
      </w:r>
      <w:r>
        <w:rPr>
          <w:rFonts w:ascii="Arial" w:hAnsi="Arial"/>
          <w:lang w:val="sr-Cyrl-RS"/>
        </w:rPr>
        <w:tab/>
      </w:r>
      <w:r>
        <w:rPr>
          <w:rFonts w:ascii="Arial" w:hAnsi="Arial"/>
          <w:lang w:val="sr-Cyrl-RS"/>
        </w:rPr>
        <w:t>Домови здравља</w:t>
      </w:r>
    </w:p>
    <w:p>
      <w:pPr>
        <w:spacing w:line="0" w:lineRule="atLeast"/>
        <w:rPr>
          <w:rFonts w:ascii="Arial" w:hAnsi="Arial"/>
          <w:lang w:val="sr-Cyrl-RS"/>
        </w:rPr>
      </w:pPr>
    </w:p>
    <w:p>
      <w:pPr>
        <w:rPr>
          <w:rFonts w:ascii="Arial" w:hAnsi="Arial" w:cs="Arial"/>
          <w:color w:val="000000" w:themeColor="text1"/>
          <w:lang w:val="sr-Cyrl-RS" w:eastAsia="en-US"/>
          <w14:textFill>
            <w14:solidFill>
              <w14:schemeClr w14:val="tx1"/>
            </w14:solidFill>
          </w14:textFill>
        </w:rPr>
      </w:pPr>
      <w:r>
        <w:rPr>
          <w:rFonts w:ascii="Arial" w:hAnsi="Arial"/>
          <w:lang w:val="sr-Cyrl-RS"/>
        </w:rPr>
        <w:t>▪</w:t>
      </w:r>
      <w:r>
        <w:rPr>
          <w:rFonts w:ascii="Arial" w:hAnsi="Arial"/>
          <w:lang w:val="sr-Cyrl-RS"/>
        </w:rPr>
        <w:tab/>
      </w:r>
      <w:r>
        <w:rPr>
          <w:rFonts w:ascii="Arial" w:hAnsi="Arial"/>
          <w:lang w:val="sr-Cyrl-RS"/>
        </w:rPr>
        <w:t>МУП и други</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br w:type="page"/>
      </w:r>
    </w:p>
    <w:p>
      <w:pPr>
        <w:pStyle w:val="3"/>
      </w:pPr>
      <w:bookmarkStart w:id="78" w:name="_Toc159226530"/>
      <w:r>
        <w:t>5.6. Активности на развоју туристичких производа</w:t>
      </w:r>
      <w:bookmarkEnd w:id="78"/>
    </w:p>
    <w:p>
      <w:pPr>
        <w:spacing w:line="276" w:lineRule="auto"/>
        <w:rPr>
          <w:rFonts w:ascii="Arial" w:hAnsi="Arial" w:cs="Arial"/>
          <w:color w:val="000000" w:themeColor="text1"/>
          <w:lang w:val="sr-Cyrl-RS"/>
          <w14:textFill>
            <w14:solidFill>
              <w14:schemeClr w14:val="tx1"/>
            </w14:solidFill>
          </w14:textFill>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АКТИВНОСТИ НА УНАПРЕЂЕЊУ ТУРИСТИЧКИХ ПРОИЗВОДА ПЛАНИНСКОГ ТУРИЗМА: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pStyle w:val="51"/>
              <w:numPr>
                <w:ilvl w:val="0"/>
                <w:numId w:val="28"/>
              </w:num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Изградња жичаре ”Стражиште”</w:t>
            </w:r>
          </w:p>
          <w:p>
            <w:pPr>
              <w:pStyle w:val="51"/>
              <w:numPr>
                <w:ilvl w:val="0"/>
                <w:numId w:val="29"/>
              </w:numPr>
              <w:spacing w:line="276" w:lineRule="auto"/>
              <w:jc w:val="both"/>
              <w:rPr>
                <w:rFonts w:ascii="Arial" w:hAnsi="Arial" w:cs="Arial"/>
                <w:lang w:val="sr-Cyrl-RS"/>
              </w:rPr>
            </w:pPr>
            <w:r>
              <w:rPr>
                <w:rFonts w:ascii="Arial" w:hAnsi="Arial" w:cs="Arial"/>
                <w:lang w:val="sr-Cyrl-RS"/>
              </w:rPr>
              <w:t>Оспособљавање постојећих бициклистичких и пешачких стаза за нордијско скијање</w:t>
            </w:r>
          </w:p>
          <w:p>
            <w:pPr>
              <w:pStyle w:val="51"/>
              <w:numPr>
                <w:ilvl w:val="0"/>
                <w:numId w:val="29"/>
              </w:numPr>
              <w:spacing w:line="276" w:lineRule="auto"/>
              <w:jc w:val="both"/>
              <w:rPr>
                <w:rFonts w:ascii="Arial" w:hAnsi="Arial" w:cs="Arial"/>
                <w:lang w:val="sr-Cyrl-RS"/>
              </w:rPr>
            </w:pPr>
            <w:r>
              <w:rPr>
                <w:rFonts w:ascii="Arial" w:hAnsi="Arial" w:cs="Arial"/>
                <w:lang w:val="sr-Cyrl-RS"/>
              </w:rPr>
              <w:t>Додатна и континуирана унапређења која се односе на туристичку сигнализацију (нпр. обележавање планинарски бициклистичких).</w:t>
            </w:r>
          </w:p>
          <w:p>
            <w:pPr>
              <w:pStyle w:val="51"/>
              <w:numPr>
                <w:ilvl w:val="0"/>
                <w:numId w:val="29"/>
              </w:numPr>
              <w:spacing w:line="276" w:lineRule="auto"/>
              <w:jc w:val="both"/>
              <w:rPr>
                <w:rFonts w:ascii="Arial" w:hAnsi="Arial" w:cs="Arial"/>
                <w:lang w:val="sr-Cyrl-RS"/>
              </w:rPr>
            </w:pPr>
            <w:r>
              <w:rPr>
                <w:rFonts w:ascii="Arial" w:hAnsi="Arial" w:cs="Arial"/>
                <w:lang w:val="sr-Cyrl-RS"/>
              </w:rPr>
              <w:t>Постављање канти за отпад и контрола заштите и очувања важних туристичких атрактивних локација и пунктова</w:t>
            </w:r>
          </w:p>
          <w:p>
            <w:pPr>
              <w:pStyle w:val="51"/>
              <w:numPr>
                <w:ilvl w:val="0"/>
                <w:numId w:val="29"/>
              </w:numPr>
              <w:spacing w:line="276" w:lineRule="auto"/>
              <w:jc w:val="both"/>
              <w:rPr>
                <w:rFonts w:ascii="Arial" w:hAnsi="Arial" w:cs="Arial"/>
                <w:lang w:val="sr-Cyrl-RS"/>
              </w:rPr>
            </w:pPr>
            <w:r>
              <w:rPr>
                <w:rFonts w:ascii="Arial" w:hAnsi="Arial" w:cs="Arial"/>
                <w:lang w:val="sr-Cyrl-RS"/>
              </w:rPr>
              <w:t xml:space="preserve">Редовно сакупљање отпада </w:t>
            </w:r>
          </w:p>
          <w:p>
            <w:pPr>
              <w:pStyle w:val="51"/>
              <w:numPr>
                <w:ilvl w:val="0"/>
                <w:numId w:val="29"/>
              </w:numPr>
              <w:spacing w:line="276" w:lineRule="auto"/>
              <w:jc w:val="both"/>
              <w:rPr>
                <w:rFonts w:ascii="Arial" w:hAnsi="Arial" w:cs="Arial"/>
                <w:lang w:val="sr-Cyrl-RS"/>
              </w:rPr>
            </w:pPr>
            <w:r>
              <w:rPr>
                <w:rFonts w:ascii="Arial" w:hAnsi="Arial" w:cs="Arial"/>
                <w:lang w:val="sr-Cyrl-RS"/>
              </w:rPr>
              <w:t>Едукација планинарскик и еко водича на дестинацији</w:t>
            </w:r>
          </w:p>
        </w:tc>
      </w:tr>
    </w:tbl>
    <w:p>
      <w:pPr>
        <w:spacing w:line="276" w:lineRule="auto"/>
        <w:rPr>
          <w:rFonts w:ascii="Arial" w:hAnsi="Arial" w:cs="Arial"/>
          <w:color w:val="000000" w:themeColor="text1"/>
          <w:lang w:val="sr-Cyrl-RS"/>
          <w14:textFill>
            <w14:solidFill>
              <w14:schemeClr w14:val="tx1"/>
            </w14:solidFill>
          </w14:textFill>
        </w:rPr>
      </w:pPr>
    </w:p>
    <w:p>
      <w:pPr>
        <w:spacing w:line="276" w:lineRule="auto"/>
        <w:rPr>
          <w:rFonts w:ascii="Arial" w:hAnsi="Arial" w:cs="Arial"/>
          <w:color w:val="000000" w:themeColor="text1"/>
          <w:lang w:val="sr-Cyrl-RS"/>
          <w14:textFill>
            <w14:solidFill>
              <w14:schemeClr w14:val="tx1"/>
            </w14:solidFill>
          </w14:textFill>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АКТИВНОСТИ НА УНАПРЕЂЕЊУ ТУРИСТИЧКИХ ПРОИЗВОДА РУРАЛНОГ ТУРИЗМА: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pStyle w:val="51"/>
              <w:numPr>
                <w:ilvl w:val="0"/>
                <w:numId w:val="30"/>
              </w:numPr>
              <w:spacing w:line="276" w:lineRule="auto"/>
              <w:jc w:val="both"/>
              <w:rPr>
                <w:rFonts w:ascii="Arial" w:hAnsi="Arial" w:cs="Arial"/>
                <w:lang w:val="sr-Cyrl-RS"/>
              </w:rPr>
            </w:pPr>
            <w:r>
              <w:rPr>
                <w:rFonts w:ascii="Arial" w:hAnsi="Arial" w:cs="Arial"/>
                <w:lang w:val="sr-Cyrl-RS"/>
              </w:rPr>
              <w:t>Подстицање уређивања сеоских кућа и других простора</w:t>
            </w:r>
          </w:p>
          <w:p>
            <w:pPr>
              <w:pStyle w:val="51"/>
              <w:numPr>
                <w:ilvl w:val="0"/>
                <w:numId w:val="31"/>
              </w:numPr>
              <w:spacing w:line="276" w:lineRule="auto"/>
              <w:jc w:val="both"/>
              <w:rPr>
                <w:rFonts w:ascii="Arial" w:hAnsi="Arial" w:cs="Arial"/>
                <w:lang w:val="sr-Cyrl-RS"/>
              </w:rPr>
            </w:pPr>
            <w:r>
              <w:rPr>
                <w:rFonts w:ascii="Arial" w:hAnsi="Arial" w:cs="Arial"/>
                <w:lang w:val="sr-Cyrl-RS"/>
              </w:rPr>
              <w:t>Развој локалног туризма повезивање и умрежавање стејкхолдера</w:t>
            </w:r>
            <w:r>
              <w:rPr>
                <w:rFonts w:ascii="Arial" w:hAnsi="Arial" w:cs="Arial"/>
                <w:lang w:val="sr-Cyrl-RS"/>
              </w:rPr>
              <w:tab/>
            </w:r>
          </w:p>
          <w:p>
            <w:pPr>
              <w:pStyle w:val="51"/>
              <w:numPr>
                <w:ilvl w:val="0"/>
                <w:numId w:val="31"/>
              </w:numPr>
              <w:spacing w:line="276" w:lineRule="auto"/>
              <w:jc w:val="both"/>
              <w:rPr>
                <w:rFonts w:ascii="Arial" w:hAnsi="Arial" w:cs="Arial"/>
                <w:lang w:val="sr-Cyrl-RS"/>
              </w:rPr>
            </w:pPr>
            <w:r>
              <w:rPr>
                <w:rFonts w:ascii="Arial" w:hAnsi="Arial" w:cs="Arial"/>
                <w:lang w:val="sr-Cyrl-RS"/>
              </w:rPr>
              <w:t>Анимација културног простора (представе и перформанси)</w:t>
            </w:r>
            <w:r>
              <w:rPr>
                <w:rFonts w:ascii="Arial" w:hAnsi="Arial" w:cs="Arial"/>
                <w:lang w:val="sr-Cyrl-RS"/>
              </w:rPr>
              <w:tab/>
            </w:r>
          </w:p>
          <w:p>
            <w:pPr>
              <w:pStyle w:val="51"/>
              <w:numPr>
                <w:ilvl w:val="0"/>
                <w:numId w:val="31"/>
              </w:numPr>
              <w:spacing w:line="276" w:lineRule="auto"/>
              <w:jc w:val="both"/>
              <w:rPr>
                <w:rFonts w:ascii="Arial" w:hAnsi="Arial" w:cs="Arial"/>
                <w:lang w:val="sr-Cyrl-RS"/>
              </w:rPr>
            </w:pPr>
            <w:r>
              <w:rPr>
                <w:rFonts w:ascii="Arial" w:hAnsi="Arial" w:cs="Arial"/>
                <w:lang w:val="sr-Cyrl-RS"/>
              </w:rPr>
              <w:t xml:space="preserve">Спровођење едукација о уређењу смештајних  и  угоститељских  </w:t>
            </w:r>
          </w:p>
          <w:p>
            <w:pPr>
              <w:spacing w:line="276" w:lineRule="auto"/>
              <w:ind w:left="720" w:hanging="11"/>
              <w:jc w:val="both"/>
              <w:rPr>
                <w:rFonts w:ascii="Arial" w:hAnsi="Arial" w:cs="Arial"/>
                <w:lang w:val="sr-Cyrl-RS"/>
              </w:rPr>
            </w:pPr>
            <w:r>
              <w:rPr>
                <w:rFonts w:ascii="Arial" w:hAnsi="Arial" w:cs="Arial"/>
                <w:lang w:val="sr-Cyrl-RS"/>
              </w:rPr>
              <w:t>капацитета,  дочека  гостију  и  пријема  гостију  и  др..</w:t>
            </w:r>
          </w:p>
          <w:p>
            <w:pPr>
              <w:pStyle w:val="51"/>
              <w:numPr>
                <w:ilvl w:val="0"/>
                <w:numId w:val="30"/>
              </w:numPr>
              <w:spacing w:line="276" w:lineRule="auto"/>
              <w:jc w:val="both"/>
              <w:rPr>
                <w:rFonts w:ascii="Arial" w:hAnsi="Arial" w:cs="Arial"/>
                <w:lang w:val="sr-Cyrl-RS"/>
              </w:rPr>
            </w:pPr>
            <w:r>
              <w:rPr>
                <w:rFonts w:ascii="Arial" w:hAnsi="Arial" w:cs="Arial"/>
                <w:lang w:val="sr-Cyrl-RS"/>
              </w:rPr>
              <w:t>Категоризација смештаја</w:t>
            </w:r>
          </w:p>
          <w:p>
            <w:pPr>
              <w:pStyle w:val="51"/>
              <w:numPr>
                <w:ilvl w:val="0"/>
                <w:numId w:val="31"/>
              </w:numPr>
              <w:spacing w:line="276" w:lineRule="auto"/>
              <w:jc w:val="both"/>
              <w:rPr>
                <w:rFonts w:ascii="Arial" w:hAnsi="Arial" w:cs="Arial"/>
                <w:lang w:val="sr-Cyrl-RS"/>
              </w:rPr>
            </w:pPr>
            <w:r>
              <w:rPr>
                <w:rFonts w:ascii="Arial" w:hAnsi="Arial" w:cs="Arial"/>
                <w:lang w:val="sr-Cyrl-RS"/>
              </w:rPr>
              <w:t>Унапређење и интензивирање промоције локалних производа у контексту промоције дестинације како кроз креирање сувенира на тему типичних производа, тако и савременим приступом презентовања истих</w:t>
            </w:r>
          </w:p>
          <w:p>
            <w:pPr>
              <w:pStyle w:val="51"/>
              <w:numPr>
                <w:ilvl w:val="0"/>
                <w:numId w:val="31"/>
              </w:numPr>
              <w:spacing w:line="276" w:lineRule="auto"/>
              <w:jc w:val="both"/>
              <w:rPr>
                <w:rFonts w:ascii="Arial" w:hAnsi="Arial" w:cs="Arial"/>
                <w:lang w:val="sr-Cyrl-RS"/>
              </w:rPr>
            </w:pPr>
            <w:r>
              <w:rPr>
                <w:rFonts w:ascii="Arial" w:hAnsi="Arial" w:cs="Arial"/>
                <w:lang w:val="sr-Cyrl-RS"/>
              </w:rPr>
              <w:t>Активности везане за заштита животне околине.</w:t>
            </w:r>
          </w:p>
          <w:p>
            <w:pPr>
              <w:pStyle w:val="51"/>
              <w:numPr>
                <w:ilvl w:val="0"/>
                <w:numId w:val="31"/>
              </w:numPr>
              <w:spacing w:line="276" w:lineRule="auto"/>
              <w:jc w:val="both"/>
              <w:rPr>
                <w:rFonts w:ascii="Arial" w:hAnsi="Arial" w:cs="Arial"/>
                <w:lang w:val="sr-Cyrl-RS"/>
              </w:rPr>
            </w:pPr>
            <w:r>
              <w:rPr>
                <w:rFonts w:ascii="Arial" w:hAnsi="Arial" w:cs="Arial"/>
                <w:lang w:val="sr-Cyrl-RS"/>
              </w:rPr>
              <w:t xml:space="preserve">Помоћ у креирању туристичких пакета туристичких агенција за боравак на селу </w:t>
            </w:r>
          </w:p>
        </w:tc>
      </w:tr>
    </w:tbl>
    <w:p>
      <w:pPr>
        <w:rPr>
          <w:lang w:val="sr-Cyrl-RS"/>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shd w:val="clear" w:color="auto" w:fill="E7E6E6" w:themeFill="background2"/>
          </w:tcPr>
          <w:p>
            <w:pPr>
              <w:spacing w:line="276" w:lineRule="auto"/>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АКТИВНОСТИ НА УНАПРЕЂЕЊУ ТУРИСТИЧКИХ ПРОИЗВОДА КУЛТУРНОГ ТУРИЗМА: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shd w:val="clear" w:color="auto" w:fill="E7E6E6" w:themeFill="background2"/>
          </w:tcPr>
          <w:p>
            <w:pPr>
              <w:pStyle w:val="51"/>
              <w:numPr>
                <w:ilvl w:val="0"/>
                <w:numId w:val="30"/>
              </w:numPr>
              <w:spacing w:line="276" w:lineRule="auto"/>
              <w:jc w:val="both"/>
              <w:rPr>
                <w:rFonts w:ascii="Arial" w:hAnsi="Arial" w:cs="Arial"/>
                <w:lang w:val="sr-Cyrl-RS"/>
              </w:rPr>
            </w:pPr>
            <w:r>
              <w:rPr>
                <w:rFonts w:ascii="Arial" w:hAnsi="Arial" w:cs="Arial"/>
                <w:lang w:val="sr-Cyrl-RS"/>
              </w:rPr>
              <w:t>Очување и заштита културног наслеђа.</w:t>
            </w:r>
            <w:r>
              <w:rPr>
                <w:rFonts w:ascii="Arial" w:hAnsi="Arial" w:cs="Arial"/>
                <w:lang w:val="sr-Cyrl-RS"/>
              </w:rPr>
              <w:tab/>
            </w:r>
            <w:r>
              <w:rPr>
                <w:rFonts w:ascii="Arial" w:hAnsi="Arial" w:cs="Arial"/>
                <w:lang w:val="sr-Cyrl-RS"/>
              </w:rPr>
              <w:t>.</w:t>
            </w:r>
            <w:r>
              <w:rPr>
                <w:rFonts w:ascii="Arial" w:hAnsi="Arial" w:cs="Arial"/>
                <w:lang w:val="sr-Cyrl-RS"/>
              </w:rPr>
              <w:tab/>
            </w:r>
          </w:p>
          <w:p>
            <w:pPr>
              <w:pStyle w:val="51"/>
              <w:numPr>
                <w:ilvl w:val="0"/>
                <w:numId w:val="32"/>
              </w:numPr>
              <w:spacing w:line="276" w:lineRule="auto"/>
              <w:jc w:val="both"/>
              <w:rPr>
                <w:rFonts w:ascii="Arial" w:hAnsi="Arial" w:cs="Arial"/>
                <w:lang w:val="sr-Cyrl-RS"/>
              </w:rPr>
            </w:pPr>
            <w:r>
              <w:rPr>
                <w:rFonts w:ascii="Arial" w:hAnsi="Arial" w:cs="Arial"/>
                <w:lang w:val="sr-Cyrl-RS"/>
              </w:rPr>
              <w:t>Увођење модерне технологије у интерпретацији културних садржаја унапређење интерпретације вођених тура (водичи, аниматори).</w:t>
            </w:r>
          </w:p>
          <w:p>
            <w:pPr>
              <w:pStyle w:val="51"/>
              <w:numPr>
                <w:ilvl w:val="0"/>
                <w:numId w:val="32"/>
              </w:numPr>
              <w:tabs>
                <w:tab w:val="left" w:pos="720"/>
              </w:tabs>
              <w:spacing w:line="276" w:lineRule="auto"/>
              <w:jc w:val="both"/>
              <w:rPr>
                <w:rFonts w:ascii="Arial" w:hAnsi="Arial" w:cs="Arial"/>
                <w:lang w:val="sr-Cyrl-RS"/>
              </w:rPr>
            </w:pPr>
            <w:r>
              <w:rPr>
                <w:rFonts w:ascii="Arial" w:hAnsi="Arial" w:cs="Arial"/>
                <w:lang w:val="sr-Cyrl-RS"/>
              </w:rPr>
              <w:t xml:space="preserve">Интензивнија промоција културне понуде, оживљавање легенди и осмишљавање прича о познатим личностима у сврху промоције дестинације и привлачења туриста. </w:t>
            </w:r>
            <w:r>
              <w:rPr>
                <w:rFonts w:ascii="Arial" w:hAnsi="Arial" w:cs="Arial"/>
                <w:lang w:val="sr-Cyrl-RS"/>
              </w:rPr>
              <w:tab/>
            </w:r>
          </w:p>
          <w:p>
            <w:pPr>
              <w:pStyle w:val="51"/>
              <w:numPr>
                <w:ilvl w:val="0"/>
                <w:numId w:val="32"/>
              </w:numPr>
              <w:spacing w:line="276" w:lineRule="auto"/>
              <w:jc w:val="both"/>
              <w:rPr>
                <w:rFonts w:ascii="Arial" w:hAnsi="Arial" w:cs="Arial"/>
                <w:lang w:val="sr-Cyrl-RS"/>
              </w:rPr>
            </w:pPr>
            <w:r>
              <w:rPr>
                <w:rFonts w:ascii="Arial" w:hAnsi="Arial" w:cs="Arial"/>
                <w:lang w:val="sr-Cyrl-RS"/>
              </w:rPr>
              <w:t>Унапређење видљивости културног наслеђа (означавање).</w:t>
            </w:r>
            <w:r>
              <w:rPr>
                <w:rFonts w:ascii="Arial" w:hAnsi="Arial" w:cs="Arial"/>
                <w:lang w:val="sr-Cyrl-RS"/>
              </w:rPr>
              <w:tab/>
            </w:r>
          </w:p>
          <w:p>
            <w:pPr>
              <w:pStyle w:val="51"/>
              <w:numPr>
                <w:ilvl w:val="0"/>
                <w:numId w:val="32"/>
              </w:numPr>
              <w:tabs>
                <w:tab w:val="left" w:pos="720"/>
              </w:tabs>
              <w:spacing w:line="276" w:lineRule="auto"/>
              <w:jc w:val="both"/>
              <w:rPr>
                <w:rFonts w:ascii="Arial" w:hAnsi="Arial" w:cs="Arial"/>
                <w:lang w:val="sr-Cyrl-RS"/>
              </w:rPr>
            </w:pPr>
            <w:r>
              <w:rPr>
                <w:rFonts w:ascii="Arial" w:hAnsi="Arial" w:cs="Arial"/>
                <w:lang w:val="sr-Cyrl-RS"/>
              </w:rPr>
              <w:t>Интензивирање прекограничних пројеката из области културе у сврху креирања заједничких туристичких производа.</w:t>
            </w:r>
          </w:p>
        </w:tc>
      </w:tr>
    </w:tbl>
    <w:p>
      <w:pPr>
        <w:rPr>
          <w:lang w:val="sr-Cyrl-RS"/>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shd w:val="clear" w:color="auto" w:fill="E7E6E6" w:themeFill="background2"/>
          </w:tcPr>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АКТИВНОСТИ НА УНАПРЕЂЕЊУ ТУРИСТИЧКИХ ПРОИЗВОДА ГАСТРОНОМИЈЕ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shd w:val="clear" w:color="auto" w:fill="E7E6E6" w:themeFill="background2"/>
          </w:tcPr>
          <w:p>
            <w:pPr>
              <w:jc w:val="both"/>
              <w:rPr>
                <w:rFonts w:ascii="Arial" w:hAnsi="Arial" w:cs="Arial"/>
                <w:b/>
                <w:bCs/>
                <w:color w:val="000000" w:themeColor="text1"/>
                <w:lang w:val="sr-Cyrl-RS"/>
                <w14:textFill>
                  <w14:solidFill>
                    <w14:schemeClr w14:val="tx1"/>
                  </w14:solidFill>
                </w14:textFill>
              </w:rPr>
            </w:pPr>
          </w:p>
          <w:p>
            <w:pPr>
              <w:pStyle w:val="51"/>
              <w:numPr>
                <w:ilvl w:val="0"/>
                <w:numId w:val="33"/>
              </w:numPr>
              <w:spacing w:line="276" w:lineRule="auto"/>
              <w:jc w:val="both"/>
              <w:rPr>
                <w:rFonts w:ascii="Arial" w:hAnsi="Arial" w:cs="Arial"/>
                <w:lang w:val="sr-Cyrl-RS"/>
              </w:rPr>
            </w:pPr>
            <w:r>
              <w:rPr>
                <w:rFonts w:ascii="Arial" w:hAnsi="Arial" w:cs="Arial"/>
                <w:lang w:val="sr-Cyrl-RS"/>
              </w:rPr>
              <w:t>Подстицање  отварања  нових  и  уређивања  постојећих  угоститељских  објеката</w:t>
            </w:r>
          </w:p>
          <w:p>
            <w:pPr>
              <w:pStyle w:val="51"/>
              <w:numPr>
                <w:ilvl w:val="0"/>
                <w:numId w:val="34"/>
              </w:numPr>
              <w:spacing w:line="276" w:lineRule="auto"/>
              <w:jc w:val="both"/>
              <w:rPr>
                <w:rFonts w:ascii="Arial" w:hAnsi="Arial" w:cs="Arial"/>
                <w:lang w:val="sr-Cyrl-RS"/>
              </w:rPr>
            </w:pPr>
            <w:r>
              <w:rPr>
                <w:rFonts w:ascii="Arial" w:hAnsi="Arial" w:cs="Arial"/>
                <w:lang w:val="sr-Cyrl-RS"/>
              </w:rPr>
              <w:t>Диверзификација и специјализација гастрономске понуде (означавање врсте ресторана, прилагођавање дела јеловника типичним производима краја)</w:t>
            </w:r>
          </w:p>
          <w:p>
            <w:pPr>
              <w:pStyle w:val="51"/>
              <w:numPr>
                <w:ilvl w:val="0"/>
                <w:numId w:val="34"/>
              </w:numPr>
              <w:spacing w:line="276" w:lineRule="auto"/>
              <w:jc w:val="both"/>
              <w:rPr>
                <w:rFonts w:ascii="Arial" w:hAnsi="Arial" w:cs="Arial"/>
                <w:lang w:val="sr-Cyrl-RS"/>
              </w:rPr>
            </w:pPr>
            <w:r>
              <w:rPr>
                <w:rFonts w:ascii="Arial" w:hAnsi="Arial" w:cs="Arial"/>
                <w:lang w:val="sr-Cyrl-RS"/>
              </w:rPr>
              <w:t xml:space="preserve">Спровођење едукација о вредности типичних производа, важности паковања у стандардизацији и сертификацији производа. </w:t>
            </w:r>
          </w:p>
          <w:p>
            <w:pPr>
              <w:pStyle w:val="51"/>
              <w:numPr>
                <w:ilvl w:val="0"/>
                <w:numId w:val="34"/>
              </w:numPr>
              <w:spacing w:line="276" w:lineRule="auto"/>
              <w:jc w:val="both"/>
              <w:rPr>
                <w:rFonts w:ascii="Arial" w:hAnsi="Arial" w:cs="Arial"/>
                <w:lang w:val="sr-Cyrl-RS"/>
              </w:rPr>
            </w:pPr>
            <w:r>
              <w:rPr>
                <w:rFonts w:ascii="Arial" w:hAnsi="Arial" w:cs="Arial"/>
                <w:lang w:val="sr-Cyrl-RS"/>
              </w:rPr>
              <w:t>Спровођење едукација и контроле квалитета хране и</w:t>
            </w:r>
            <w:r>
              <w:rPr>
                <w:rFonts w:ascii="Arial" w:hAnsi="Arial" w:cs="Arial"/>
                <w:lang w:val="sr-Cyrl-RS"/>
              </w:rPr>
              <w:tab/>
            </w:r>
            <w:r>
              <w:rPr>
                <w:rFonts w:ascii="Arial" w:hAnsi="Arial" w:cs="Arial"/>
                <w:lang w:val="sr-Cyrl-RS"/>
              </w:rPr>
              <w:t xml:space="preserve"> пића  (сок, вино, ракија  и  др.)</w:t>
            </w:r>
          </w:p>
          <w:p>
            <w:pPr>
              <w:pStyle w:val="51"/>
              <w:numPr>
                <w:ilvl w:val="0"/>
                <w:numId w:val="34"/>
              </w:numPr>
              <w:spacing w:line="276" w:lineRule="auto"/>
              <w:jc w:val="both"/>
              <w:rPr>
                <w:rFonts w:ascii="Arial" w:hAnsi="Arial" w:cs="Arial"/>
                <w:lang w:val="sr-Cyrl-RS"/>
              </w:rPr>
            </w:pPr>
            <w:r>
              <w:rPr>
                <w:rFonts w:ascii="Arial" w:hAnsi="Arial" w:cs="Arial"/>
                <w:lang w:val="sr-Cyrl-RS"/>
              </w:rPr>
              <w:t>Удруживање произвођача у циљу испоручивања довољне количине типичних производа приватном смештају, камповима и ресторанима.</w:t>
            </w:r>
          </w:p>
          <w:p>
            <w:pPr>
              <w:pStyle w:val="51"/>
              <w:numPr>
                <w:ilvl w:val="0"/>
                <w:numId w:val="34"/>
              </w:numPr>
              <w:spacing w:line="276" w:lineRule="auto"/>
              <w:jc w:val="both"/>
              <w:rPr>
                <w:rFonts w:ascii="Arial" w:hAnsi="Arial" w:cs="Arial"/>
                <w:lang w:val="sr-Cyrl-RS"/>
              </w:rPr>
            </w:pPr>
            <w:r>
              <w:rPr>
                <w:rFonts w:ascii="Arial" w:hAnsi="Arial" w:cs="Arial"/>
                <w:lang w:val="sr-Cyrl-RS"/>
              </w:rPr>
              <w:t>Изградња или адаптација просторија за пружање услуга продаје здраве  хране и пића  /  гастрономске  сувенирнице,</w:t>
            </w:r>
          </w:p>
          <w:p>
            <w:pPr>
              <w:spacing w:line="276" w:lineRule="auto"/>
              <w:jc w:val="both"/>
              <w:rPr>
                <w:rFonts w:ascii="Arial" w:hAnsi="Arial" w:cs="Arial"/>
                <w:lang w:val="sr-Cyrl-RS"/>
              </w:rPr>
            </w:pPr>
            <w:r>
              <w:rPr>
                <w:rFonts w:ascii="Arial" w:hAnsi="Arial" w:cs="Arial"/>
                <w:lang w:val="sr-Cyrl-RS"/>
              </w:rPr>
              <w:t>•</w:t>
            </w:r>
            <w:r>
              <w:rPr>
                <w:rFonts w:ascii="Arial" w:hAnsi="Arial" w:cs="Arial"/>
                <w:lang w:val="sr-Cyrl-RS"/>
              </w:rPr>
              <w:tab/>
            </w:r>
            <w:r>
              <w:rPr>
                <w:rFonts w:ascii="Arial" w:hAnsi="Arial" w:cs="Arial"/>
                <w:lang w:val="sr-Cyrl-RS"/>
              </w:rPr>
              <w:t>Подршка  постојећим  гастрономским  манифестацијама</w:t>
            </w:r>
          </w:p>
        </w:tc>
      </w:tr>
    </w:tbl>
    <w:p>
      <w:pPr>
        <w:rPr>
          <w:lang w:val="sr-Cyrl-RS"/>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АКТИВНОСТИ НА УНАПРЕЂЕЊУ ТУРИСТИЧКИХ ПРОИЗВОДА МАНИФЕСТАЦИЈЕ И ДОГАЂАЈИ: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pStyle w:val="51"/>
              <w:numPr>
                <w:ilvl w:val="0"/>
                <w:numId w:val="32"/>
              </w:numPr>
              <w:spacing w:line="276" w:lineRule="auto"/>
              <w:jc w:val="both"/>
              <w:rPr>
                <w:rFonts w:ascii="Arial" w:hAnsi="Arial" w:cs="Arial"/>
                <w:lang w:val="sr-Cyrl-RS"/>
              </w:rPr>
            </w:pPr>
            <w:r>
              <w:rPr>
                <w:rFonts w:ascii="Arial" w:hAnsi="Arial" w:cs="Arial"/>
                <w:lang w:val="sr-Cyrl-RS"/>
              </w:rPr>
              <w:t>Подршка  и  едукација организаторима  манифестација (ликовна колонија, уметничке радионице, тематске књижевне и музичке вечери и сл.). и другим пружаоца услуга у културном туризму.</w:t>
            </w:r>
          </w:p>
          <w:p>
            <w:pPr>
              <w:pStyle w:val="51"/>
              <w:numPr>
                <w:ilvl w:val="0"/>
                <w:numId w:val="32"/>
              </w:numPr>
              <w:spacing w:line="276" w:lineRule="auto"/>
              <w:jc w:val="both"/>
              <w:rPr>
                <w:rFonts w:ascii="Arial" w:hAnsi="Arial" w:cs="Arial"/>
                <w:lang w:val="sr-Cyrl-RS"/>
              </w:rPr>
            </w:pPr>
            <w:r>
              <w:rPr>
                <w:rFonts w:ascii="Arial" w:hAnsi="Arial" w:cs="Arial"/>
                <w:lang w:val="sr-Cyrl-RS"/>
              </w:rPr>
              <w:t>Афирмација удружења и талентованих појединаца из области културе и њихово активно учешће у анимацији културног простора.</w:t>
            </w:r>
          </w:p>
          <w:p>
            <w:pPr>
              <w:pStyle w:val="51"/>
              <w:numPr>
                <w:ilvl w:val="0"/>
                <w:numId w:val="32"/>
              </w:numPr>
              <w:spacing w:line="276" w:lineRule="auto"/>
              <w:jc w:val="both"/>
              <w:rPr>
                <w:rFonts w:ascii="Arial" w:hAnsi="Arial" w:cs="Arial"/>
                <w:lang w:val="sr-Cyrl-RS"/>
              </w:rPr>
            </w:pPr>
            <w:r>
              <w:rPr>
                <w:rFonts w:ascii="Arial" w:hAnsi="Arial" w:cs="Arial"/>
                <w:lang w:val="sr-Cyrl-RS"/>
              </w:rPr>
              <w:t>Интензивнија промоција постојећих и рад на креирању нових манифестација</w:t>
            </w:r>
          </w:p>
        </w:tc>
      </w:tr>
    </w:tbl>
    <w:p>
      <w:pPr>
        <w:rPr>
          <w:lang w:val="sr-Cyrl-RS"/>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line="276" w:lineRule="auto"/>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АКТИВНОСТИ НА УНАПРЕЂЕЊУ ТУРИСТИЧКИХ ПРОИЗВОДА СПЕЦИЈАЛНИХ ИНТЕРЕСА: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брдско планинских бициклистичких стаза и постављање сигнализације</w:t>
            </w:r>
          </w:p>
          <w:p>
            <w:pPr>
              <w:pStyle w:val="51"/>
              <w:numPr>
                <w:ilvl w:val="0"/>
                <w:numId w:val="34"/>
              </w:numPr>
              <w:spacing w:line="276" w:lineRule="auto"/>
              <w:jc w:val="both"/>
              <w:rPr>
                <w:rFonts w:ascii="Arial" w:hAnsi="Arial" w:cs="Arial"/>
                <w:lang w:val="sr-Cyrl-RS"/>
              </w:rPr>
            </w:pPr>
            <w:r>
              <w:rPr>
                <w:rFonts w:ascii="Arial" w:hAnsi="Arial" w:cs="Arial"/>
                <w:lang w:val="sr-Cyrl-RS"/>
              </w:rPr>
              <w:t>Повећање конкурентности издиференцираних пешачких рута, креирање туристичких производа и унапређење промоције истих</w:t>
            </w:r>
          </w:p>
          <w:p>
            <w:pPr>
              <w:pStyle w:val="51"/>
              <w:numPr>
                <w:ilvl w:val="0"/>
                <w:numId w:val="34"/>
              </w:numPr>
              <w:spacing w:line="276" w:lineRule="auto"/>
              <w:jc w:val="both"/>
              <w:rPr>
                <w:rFonts w:ascii="Arial" w:hAnsi="Arial" w:cs="Arial"/>
                <w:lang w:val="sr-Cyrl-RS"/>
              </w:rPr>
            </w:pPr>
            <w:r>
              <w:rPr>
                <w:rFonts w:ascii="Arial" w:hAnsi="Arial" w:cs="Arial"/>
                <w:lang w:val="sr-Cyrl-RS"/>
              </w:rPr>
              <w:t>Изградња паркиралишта и одморишта за бициклисте и планинаре  (локалних знаменитости и атракција, видиковцима, угоститељски објекти, кампове итд.)</w:t>
            </w:r>
          </w:p>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Унапређење сарадње са Ловачким удружењем „Заплање“ </w:t>
            </w:r>
          </w:p>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Одржавање и обележавање шумски комуникацијски путеви </w:t>
            </w:r>
          </w:p>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Промоција понуде на тематским сајмовима за лов, риболов и посматрање птица </w:t>
            </w:r>
          </w:p>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Едукација и обука водича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природне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еколошке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туре</w:t>
            </w:r>
          </w:p>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Сређивање шумарских кућица и смештајне капацитете</w:t>
            </w:r>
          </w:p>
          <w:p>
            <w:pPr>
              <w:pStyle w:val="51"/>
              <w:numPr>
                <w:ilvl w:val="0"/>
                <w:numId w:val="34"/>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Помоћ у организација манифестације ”Видовдански сабор” на Сувој планини </w:t>
            </w:r>
          </w:p>
          <w:p>
            <w:pPr>
              <w:pStyle w:val="51"/>
              <w:numPr>
                <w:ilvl w:val="0"/>
                <w:numId w:val="34"/>
              </w:num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Изградња ловачког дома</w:t>
            </w:r>
          </w:p>
          <w:p>
            <w:pPr>
              <w:pStyle w:val="51"/>
              <w:numPr>
                <w:ilvl w:val="0"/>
                <w:numId w:val="34"/>
              </w:num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Изградња и сређивање чека за посматрање птица и животиња</w:t>
            </w:r>
          </w:p>
          <w:p>
            <w:pPr>
              <w:pStyle w:val="51"/>
              <w:numPr>
                <w:ilvl w:val="0"/>
                <w:numId w:val="34"/>
              </w:numPr>
              <w:spacing w:line="276" w:lineRule="auto"/>
              <w:jc w:val="both"/>
              <w:rPr>
                <w:rFonts w:ascii="Arial" w:hAnsi="Arial" w:cs="Arial"/>
                <w:lang w:val="sr-Cyrl-RS"/>
              </w:rPr>
            </w:pPr>
            <w:r>
              <w:rPr>
                <w:rFonts w:ascii="Arial" w:hAnsi="Arial" w:cs="Arial"/>
                <w:lang w:val="sr-Cyrl-RS"/>
              </w:rPr>
              <w:t>Креиране базе података свих лековитих биљних врста и зачина са описима</w:t>
            </w:r>
          </w:p>
          <w:p>
            <w:pPr>
              <w:pStyle w:val="51"/>
              <w:numPr>
                <w:ilvl w:val="0"/>
                <w:numId w:val="34"/>
              </w:numPr>
              <w:spacing w:line="276" w:lineRule="auto"/>
              <w:jc w:val="both"/>
              <w:rPr>
                <w:rFonts w:ascii="Arial" w:hAnsi="Arial" w:cs="Arial"/>
                <w:lang w:val="sr-Cyrl-RS"/>
              </w:rPr>
            </w:pPr>
            <w:r>
              <w:rPr>
                <w:rFonts w:ascii="Arial" w:hAnsi="Arial" w:cs="Arial"/>
                <w:lang w:val="sr-Cyrl-RS"/>
              </w:rPr>
              <w:t>Организација посета произвођачима лековитог биља</w:t>
            </w:r>
          </w:p>
        </w:tc>
      </w:tr>
    </w:tbl>
    <w:p>
      <w:pPr>
        <w:rPr>
          <w:lang w:val="sr-Cyrl-RS"/>
        </w:rPr>
      </w:pPr>
    </w:p>
    <w:p>
      <w:pPr>
        <w:pStyle w:val="3"/>
      </w:pPr>
    </w:p>
    <w:p>
      <w:pPr>
        <w:pStyle w:val="3"/>
      </w:pPr>
      <w:r>
        <w:br w:type="page"/>
      </w:r>
    </w:p>
    <w:p>
      <w:pPr>
        <w:pStyle w:val="2"/>
        <w:rPr>
          <w:rFonts w:ascii="Arial" w:hAnsi="Arial" w:cs="Arial"/>
          <w:b/>
          <w:bCs w:val="0"/>
          <w:sz w:val="24"/>
          <w:szCs w:val="24"/>
          <w:lang w:val="sr-Cyrl-RS"/>
        </w:rPr>
      </w:pPr>
      <w:bookmarkStart w:id="79" w:name="_Toc159226531"/>
      <w:r>
        <w:rPr>
          <w:rFonts w:ascii="Arial" w:hAnsi="Arial" w:cs="Arial"/>
          <w:b/>
          <w:bCs w:val="0"/>
          <w:sz w:val="24"/>
          <w:szCs w:val="24"/>
          <w:lang w:val="sr-Cyrl-RS"/>
        </w:rPr>
        <w:t>6 . SWОТ АНАЛИЗА</w:t>
      </w:r>
      <w:bookmarkEnd w:id="79"/>
    </w:p>
    <w:p>
      <w:pPr>
        <w:pBdr>
          <w:top w:val="none" w:color="auto" w:sz="0" w:space="0"/>
          <w:left w:val="none" w:color="auto" w:sz="0" w:space="0"/>
          <w:bottom w:val="none" w:color="auto" w:sz="0" w:space="0"/>
          <w:right w:val="none" w:color="auto" w:sz="0" w:space="0"/>
          <w:between w:val="none" w:color="auto" w:sz="0" w:space="0"/>
        </w:pBdr>
        <w:spacing w:after="12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SWОТ анализа је структурирана планска метода евалуације пројеката, програма, подухвата, пословне идеје или територијалне јединице, у сврху развоја одређене делатности. </w:t>
      </w:r>
    </w:p>
    <w:p>
      <w:pPr>
        <w:pBdr>
          <w:top w:val="none" w:color="auto" w:sz="0" w:space="0"/>
          <w:left w:val="none" w:color="auto" w:sz="0" w:space="0"/>
          <w:bottom w:val="none" w:color="auto" w:sz="0" w:space="0"/>
          <w:right w:val="none" w:color="auto" w:sz="0" w:space="0"/>
          <w:between w:val="none" w:color="auto" w:sz="0" w:space="0"/>
        </w:pBdr>
        <w:spacing w:after="12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SWОТ је акроним настао од четири речи у енглеском језику (Strengths – снаге; Weaknesses – слабости; Opportunities – могућности (шансе); Threats – претње (опасности)). Основна идеја је да се овом анализом наведених фактора омогући развојно понашање дестинације, које обезбеђује максимално коришћење шанси, да се слабости минимизирају, те да се претње из окружења предвиде, избегну или да се умањи њихов негативан утицај.</w:t>
      </w:r>
    </w:p>
    <w:p>
      <w:pPr>
        <w:pBdr>
          <w:top w:val="none" w:color="auto" w:sz="0" w:space="0"/>
          <w:left w:val="none" w:color="auto" w:sz="0" w:space="0"/>
          <w:bottom w:val="none" w:color="auto" w:sz="0" w:space="0"/>
          <w:right w:val="none" w:color="auto" w:sz="0" w:space="0"/>
          <w:between w:val="none" w:color="auto" w:sz="0" w:space="0"/>
        </w:pBdr>
        <w:spacing w:after="12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 складу са битним одредницама у разради концепта развоја туризма дестинације, SWОТ анализа је урађена у оквиру следећих компоненти:</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просторне одреднице;</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ресурсна и атракцијска основа;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развијеност туристичког сектора;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људски ресурси;</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маркетинг и промоција;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организација и управљање туристичким развојем;</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повезаност са другим привредним секторима;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сажетак (закључак) СWОТ анализе – идентификација стратешких предности и недостатака.</w:t>
      </w:r>
      <w:bookmarkStart w:id="80" w:name="_heading=h.1pxezwc" w:colFirst="0" w:colLast="0"/>
      <w:bookmarkEnd w:id="80"/>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b/>
          <w:color w:val="000000" w:themeColor="text1"/>
          <w:highlight w:val="white"/>
          <w:lang w:val="sr-Cyrl-RS"/>
          <w14:textFill>
            <w14:solidFill>
              <w14:schemeClr w14:val="tx1"/>
            </w14:solidFill>
          </w14:textFill>
        </w:rPr>
      </w:pPr>
      <w:bookmarkStart w:id="81" w:name="_Hlk158819929"/>
      <w:r>
        <w:rPr>
          <w:rFonts w:ascii="Arial" w:hAnsi="Arial" w:cs="Arial"/>
          <w:b/>
          <w:color w:val="000000" w:themeColor="text1"/>
          <w:highlight w:val="white"/>
          <w:lang w:val="sr-Cyrl-RS"/>
          <w14:textFill>
            <w14:solidFill>
              <w14:schemeClr w14:val="tx1"/>
            </w14:solidFill>
          </w14:textFill>
        </w:rPr>
        <w:t>SWОТ анализа</w:t>
      </w:r>
    </w:p>
    <w:p>
      <w:pPr>
        <w:pStyle w:val="51"/>
        <w:numPr>
          <w:ilvl w:val="0"/>
          <w:numId w:val="36"/>
        </w:num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color w:val="000000" w:themeColor="text1"/>
          <w:highlight w:val="white"/>
          <w:lang w:val="sr-Cyrl-RS"/>
          <w14:textFill>
            <w14:solidFill>
              <w14:schemeClr w14:val="tx1"/>
            </w14:solidFill>
          </w14:textFill>
        </w:rPr>
      </w:pPr>
      <w:r>
        <w:rPr>
          <w:rFonts w:ascii="Arial" w:hAnsi="Arial" w:cs="Arial"/>
          <w:color w:val="000000" w:themeColor="text1"/>
          <w:highlight w:val="white"/>
          <w:lang w:val="sr-Cyrl-RS"/>
          <w14:textFill>
            <w14:solidFill>
              <w14:schemeClr w14:val="tx1"/>
            </w14:solidFill>
          </w14:textFill>
        </w:rPr>
        <w:t>ЉУДСКИ РЕСУРСИ</w:t>
      </w:r>
    </w:p>
    <w:tbl>
      <w:tblPr>
        <w:tblStyle w:val="6"/>
        <w:tblW w:w="9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05"/>
        <w:gridCol w:w="4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9" w:hRule="atLeast"/>
        </w:trPr>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СНАГЕ</w:t>
            </w:r>
          </w:p>
        </w:tc>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СЛАБОСТИ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37"/>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Изразита воља и отвореност локалног становништва за развој туризма</w:t>
            </w:r>
          </w:p>
          <w:p>
            <w:pPr>
              <w:spacing w:line="276" w:lineRule="auto"/>
              <w:rPr>
                <w:rFonts w:ascii="Arial" w:hAnsi="Arial" w:cs="Arial"/>
                <w:color w:val="000000" w:themeColor="text1"/>
                <w:lang w:val="sr-Cyrl-RS"/>
                <w14:textFill>
                  <w14:solidFill>
                    <w14:schemeClr w14:val="tx1"/>
                  </w14:solidFill>
                </w14:textFill>
              </w:rPr>
            </w:pPr>
          </w:p>
        </w:tc>
        <w:tc>
          <w:tcPr>
            <w:tcW w:w="4505" w:type="dxa"/>
          </w:tcPr>
          <w:p>
            <w:pPr>
              <w:numPr>
                <w:ilvl w:val="0"/>
                <w:numId w:val="37"/>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Негативна демографска кретања (депопулација, миграције, старење и др.)</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потребних специјализованих профила</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Низак ниво свести о значају заштите животне околине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trPr>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ПРИЛИКЕ</w:t>
            </w:r>
          </w:p>
        </w:tc>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ПРЕТЊЕ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38"/>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Увођење система дуалног образовања</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људских ресурса у погледу стварања услова за одрживо запошљавање у туризму</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Коришћење мера подршке за повратак на село</w:t>
            </w:r>
          </w:p>
        </w:tc>
        <w:tc>
          <w:tcPr>
            <w:tcW w:w="4505" w:type="dxa"/>
          </w:tcPr>
          <w:p>
            <w:pPr>
              <w:numPr>
                <w:ilvl w:val="0"/>
                <w:numId w:val="38"/>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Неуспостављање других полуга за спречавање негативних демографских кретања у кратком и средњем року</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Недовољна заинтересованост одређеног броја власника за сређивање воденица</w:t>
            </w:r>
          </w:p>
          <w:p>
            <w:pPr>
              <w:spacing w:line="276" w:lineRule="auto"/>
              <w:rPr>
                <w:rFonts w:ascii="Arial" w:hAnsi="Arial" w:cs="Arial"/>
                <w:color w:val="000000" w:themeColor="text1"/>
                <w:lang w:val="sr-Cyrl-RS"/>
                <w14:textFill>
                  <w14:solidFill>
                    <w14:schemeClr w14:val="tx1"/>
                  </w14:solidFill>
                </w14:textFill>
              </w:rPr>
            </w:pPr>
          </w:p>
        </w:tc>
      </w:tr>
    </w:tbl>
    <w:p>
      <w:p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b/>
          <w:color w:val="000000" w:themeColor="text1"/>
          <w:highlight w:val="white"/>
          <w:lang w:val="sr-Cyrl-RS"/>
          <w14:textFill>
            <w14:solidFill>
              <w14:schemeClr w14:val="tx1"/>
            </w14:solidFill>
          </w14:textFill>
        </w:rPr>
      </w:pPr>
    </w:p>
    <w:bookmarkEnd w:id="81"/>
    <w:p>
      <w:pPr>
        <w:pStyle w:val="51"/>
        <w:numPr>
          <w:ilvl w:val="0"/>
          <w:numId w:val="39"/>
        </w:num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color w:val="000000" w:themeColor="text1"/>
          <w:highlight w:val="white"/>
          <w:lang w:val="sr-Cyrl-RS"/>
          <w14:textFill>
            <w14:solidFill>
              <w14:schemeClr w14:val="tx1"/>
            </w14:solidFill>
          </w14:textFill>
        </w:rPr>
      </w:pPr>
      <w:r>
        <w:rPr>
          <w:rFonts w:ascii="Arial" w:hAnsi="Arial" w:cs="Arial"/>
          <w:color w:val="000000" w:themeColor="text1"/>
          <w:highlight w:val="white"/>
          <w:lang w:val="sr-Cyrl-RS"/>
          <w14:textFill>
            <w14:solidFill>
              <w14:schemeClr w14:val="tx1"/>
            </w14:solidFill>
          </w14:textFill>
        </w:rPr>
        <w:t>ИНФРАСТРУКТУРА И САОБРАЋАЈ</w:t>
      </w:r>
    </w:p>
    <w:tbl>
      <w:tblPr>
        <w:tblStyle w:val="6"/>
        <w:tblW w:w="9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05"/>
        <w:gridCol w:w="4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9" w:hRule="atLeast"/>
        </w:trPr>
        <w:tc>
          <w:tcPr>
            <w:tcW w:w="4505" w:type="dxa"/>
            <w:shd w:val="clear" w:color="auto" w:fill="70AD47" w:themeFill="accent6"/>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СНАГЕ</w:t>
            </w:r>
          </w:p>
        </w:tc>
        <w:tc>
          <w:tcPr>
            <w:tcW w:w="4505" w:type="dxa"/>
            <w:shd w:val="clear" w:color="auto" w:fill="70AD47" w:themeFill="accent6"/>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СЛАБОСТИ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Смештена уз</w:t>
            </w:r>
            <w:r>
              <w:rPr>
                <w:rFonts w:ascii="Arial" w:hAnsi="Arial" w:cs="Arial"/>
                <w:color w:val="000000" w:themeColor="text1"/>
                <w:lang w:val="sr-Cyrl-RS" w:eastAsia="en-US"/>
                <w14:textFill>
                  <w14:solidFill>
                    <w14:schemeClr w14:val="tx1"/>
                  </w14:solidFill>
                </w14:textFill>
              </w:rPr>
              <w:t xml:space="preserve"> аутопут Ниш – Скопље, односно Коридор 10</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Близина великих градова (Ниш, Лесковац)</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Близина аеродрома (до 30 км удаљеност)</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Оптимална надморска висина и природно окружење</w:t>
            </w:r>
          </w:p>
        </w:tc>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Запуштена и туристички неприпремљена сеоска подручја </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Стање елемената основне инфраструктуре испод стандарда (водоснабдевање, третман отпадних вода)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Неадекватна друмска, бициклистичка и железничка путна инфраструктура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trPr>
        <w:tc>
          <w:tcPr>
            <w:tcW w:w="4505" w:type="dxa"/>
            <w:shd w:val="clear" w:color="auto" w:fill="70AD47" w:themeFill="accent6"/>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ПРИЛИКЕ</w:t>
            </w:r>
          </w:p>
        </w:tc>
        <w:tc>
          <w:tcPr>
            <w:tcW w:w="4505" w:type="dxa"/>
            <w:shd w:val="clear" w:color="auto" w:fill="70AD47" w:themeFill="accent6"/>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ПРЕТЊЕ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Процес уласка и улазак Србије у чланство земаља ЕУ</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Повезивање са другим туристичким атракцијама Ниша, Нишке бање и околине</w:t>
            </w:r>
          </w:p>
        </w:tc>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Дивља градња – непланско и стихијско заузимање простора око кључних атракција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финансија услед инфлације, економских и здравствених (пандемијских) прилика</w:t>
            </w:r>
          </w:p>
        </w:tc>
      </w:tr>
    </w:tbl>
    <w:p>
      <w:pPr>
        <w:spacing w:line="276" w:lineRule="auto"/>
        <w:rPr>
          <w:rFonts w:ascii="Arial" w:hAnsi="Arial" w:cs="Arial"/>
          <w:b/>
          <w:color w:val="000000" w:themeColor="text1"/>
          <w:lang w:val="sr-Cyrl-RS"/>
          <w14:textFill>
            <w14:solidFill>
              <w14:schemeClr w14:val="tx1"/>
            </w14:solidFill>
          </w14:textFill>
        </w:rPr>
      </w:pPr>
    </w:p>
    <w:p>
      <w:pPr>
        <w:spacing w:line="276" w:lineRule="auto"/>
        <w:rPr>
          <w:rFonts w:ascii="Arial" w:hAnsi="Arial" w:cs="Arial"/>
          <w:b/>
          <w:color w:val="000000" w:themeColor="text1"/>
          <w:lang w:val="sr-Cyrl-RS"/>
          <w14:textFill>
            <w14:solidFill>
              <w14:schemeClr w14:val="tx1"/>
            </w14:solidFill>
          </w14:textFill>
        </w:rPr>
      </w:pPr>
    </w:p>
    <w:p>
      <w:pPr>
        <w:pStyle w:val="51"/>
        <w:numPr>
          <w:ilvl w:val="0"/>
          <w:numId w:val="39"/>
        </w:num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color w:val="000000" w:themeColor="text1"/>
          <w:highlight w:val="white"/>
          <w:lang w:val="sr-Cyrl-RS"/>
          <w14:textFill>
            <w14:solidFill>
              <w14:schemeClr w14:val="tx1"/>
            </w14:solidFill>
          </w14:textFill>
        </w:rPr>
      </w:pPr>
      <w:r>
        <w:rPr>
          <w:rFonts w:ascii="Arial" w:hAnsi="Arial" w:cs="Arial"/>
          <w:color w:val="000000" w:themeColor="text1"/>
          <w:highlight w:val="white"/>
          <w:lang w:val="sr-Cyrl-RS"/>
          <w14:textFill>
            <w14:solidFill>
              <w14:schemeClr w14:val="tx1"/>
            </w14:solidFill>
          </w14:textFill>
        </w:rPr>
        <w:t>ТУРИСТИЧКИ ПРОИЗВОДИ</w:t>
      </w:r>
    </w:p>
    <w:tbl>
      <w:tblPr>
        <w:tblStyle w:val="6"/>
        <w:tblW w:w="9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05"/>
        <w:gridCol w:w="4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9" w:hRule="atLeast"/>
        </w:trPr>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СНАГЕ</w:t>
            </w:r>
          </w:p>
        </w:tc>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СЛАБОСТИ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Природно богатство изузетне вредности</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Гостољубивост и посвећеност домаћина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Аутохтона гастрономија </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Постојећа инфраструктура за ловни туризам</w:t>
            </w:r>
          </w:p>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tc>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туристичке инфраструктуре и сигнализације</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Тренутни туристички производи и атракције углавном нису спремни за комерцијализацију - неискоришћеност потенцијала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Недовољна промотивна активност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trPr>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ПРИЛИКЕ</w:t>
            </w:r>
          </w:p>
        </w:tc>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ПРЕТЊЕ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Претприступни фондови ЕУ</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Глобални раст тражње за производима кратки одмор и оутдоор туризма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пратећих садржаја (кампинг одмориште, бициклистичке стазе и друго)</w:t>
            </w:r>
          </w:p>
        </w:tc>
        <w:tc>
          <w:tcPr>
            <w:tcW w:w="4505" w:type="dxa"/>
          </w:tcPr>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Непланско коришћење ресурса и атракција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Неприпремљеност пројеката и развојних иницијатива </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Конкуренција са сличним или истим ресурсима и атракцијама на локалном, регионалном и међународном нивоу</w:t>
            </w:r>
          </w:p>
        </w:tc>
      </w:tr>
    </w:tbl>
    <w:p>
      <w:pPr>
        <w:spacing w:after="240" w:line="276" w:lineRule="auto"/>
        <w:rPr>
          <w:rFonts w:ascii="Arial" w:hAnsi="Arial" w:cs="Arial"/>
          <w:color w:val="000000" w:themeColor="text1"/>
          <w:lang w:val="sr-Cyrl-RS"/>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color w:val="000000" w:themeColor="text1"/>
          <w:highlight w:val="white"/>
          <w:lang w:val="sr-Cyrl-RS"/>
          <w14:textFill>
            <w14:solidFill>
              <w14:schemeClr w14:val="tx1"/>
            </w14:solidFill>
          </w14:textFill>
        </w:rPr>
      </w:pPr>
      <w:r>
        <w:rPr>
          <w:rFonts w:ascii="Arial" w:hAnsi="Arial" w:cs="Arial"/>
          <w:color w:val="000000" w:themeColor="text1"/>
          <w:highlight w:val="white"/>
          <w:lang w:val="sr-Cyrl-RS"/>
          <w14:textFill>
            <w14:solidFill>
              <w14:schemeClr w14:val="tx1"/>
            </w14:solidFill>
          </w14:textFill>
        </w:rPr>
        <w:t>4.УСКЛАЂЕНОСТ СА ДРУГИМ ДЕЛАТНОСТИМ</w:t>
      </w:r>
    </w:p>
    <w:tbl>
      <w:tblPr>
        <w:tblStyle w:val="6"/>
        <w:tblW w:w="9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05"/>
        <w:gridCol w:w="4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9" w:hRule="atLeast"/>
        </w:trPr>
        <w:tc>
          <w:tcPr>
            <w:tcW w:w="4505" w:type="dxa"/>
            <w:shd w:val="clear" w:color="auto" w:fill="70AD47"/>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СНАГЕ</w:t>
            </w:r>
          </w:p>
        </w:tc>
        <w:tc>
          <w:tcPr>
            <w:tcW w:w="4505" w:type="dxa"/>
            <w:shd w:val="clear" w:color="auto" w:fill="70AD47"/>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СЛАБОСТИ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 </w:t>
            </w:r>
          </w:p>
          <w:p>
            <w:pPr>
              <w:numPr>
                <w:ilvl w:val="0"/>
                <w:numId w:val="40"/>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Задовољавајући број произвођача меда, сира и других домаћих производа</w:t>
            </w:r>
          </w:p>
          <w:p>
            <w:pPr>
              <w:numPr>
                <w:ilvl w:val="0"/>
                <w:numId w:val="40"/>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Добра повезаност удружења и произвођача са јавним сектором </w:t>
            </w:r>
          </w:p>
        </w:tc>
        <w:tc>
          <w:tcPr>
            <w:tcW w:w="4505" w:type="dxa"/>
          </w:tcPr>
          <w:p>
            <w:pPr>
              <w:numPr>
                <w:ilvl w:val="0"/>
                <w:numId w:val="40"/>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Недостатак заједничке визије и разумевања правила игре у сектору туризма (интереси појединачних релевантних туристичких субјеката нису хармонизовани)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trPr>
        <w:tc>
          <w:tcPr>
            <w:tcW w:w="4505" w:type="dxa"/>
            <w:shd w:val="clear" w:color="auto" w:fill="70AD47"/>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ПРИЛИКЕ</w:t>
            </w:r>
          </w:p>
        </w:tc>
        <w:tc>
          <w:tcPr>
            <w:tcW w:w="4505" w:type="dxa"/>
            <w:shd w:val="clear" w:color="auto" w:fill="70AD47"/>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ПРЕТЊЕ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4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Ознаке квалитета – брендирање производа / заштита марком квалитета (традиционални производи)</w:t>
            </w:r>
          </w:p>
          <w:p>
            <w:pPr>
              <w:numPr>
                <w:ilvl w:val="0"/>
                <w:numId w:val="4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Јаче повезивање сектора пољопривреде и туризма преко коришћења подршке из ИПАРД-а</w:t>
            </w:r>
          </w:p>
          <w:p>
            <w:pPr>
              <w:numPr>
                <w:ilvl w:val="0"/>
                <w:numId w:val="4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Јачање малих и средњих предузећа кроз приватне иницијативе (нпр. локалне гастро-сувенирнице и трговине)</w:t>
            </w:r>
          </w:p>
          <w:p>
            <w:pPr>
              <w:numPr>
                <w:ilvl w:val="0"/>
                <w:numId w:val="4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Коришћење снаге постојећих привредних субјеката на међународним тржиштима за туристички маркетинг</w:t>
            </w:r>
          </w:p>
        </w:tc>
        <w:tc>
          <w:tcPr>
            <w:tcW w:w="4505" w:type="dxa"/>
          </w:tcPr>
          <w:p>
            <w:pPr>
              <w:numPr>
                <w:ilvl w:val="0"/>
                <w:numId w:val="4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Пропадање пољопривреде и занатства (пољопривреде, сточарства)</w:t>
            </w:r>
          </w:p>
          <w:p>
            <w:pPr>
              <w:numPr>
                <w:ilvl w:val="0"/>
                <w:numId w:val="41"/>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 препознавање прилика за сарадњу</w:t>
            </w:r>
          </w:p>
        </w:tc>
      </w:tr>
    </w:tbl>
    <w:p>
      <w:pPr>
        <w:pBdr>
          <w:top w:val="none" w:color="auto" w:sz="0" w:space="0"/>
          <w:left w:val="none" w:color="auto" w:sz="0" w:space="0"/>
          <w:bottom w:val="none" w:color="auto" w:sz="0" w:space="0"/>
          <w:right w:val="none" w:color="auto" w:sz="0" w:space="0"/>
          <w:between w:val="none" w:color="auto" w:sz="0" w:space="0"/>
        </w:pBdr>
        <w:spacing w:before="160" w:after="40" w:line="276" w:lineRule="auto"/>
        <w:rPr>
          <w:rFonts w:ascii="Arial" w:hAnsi="Arial" w:cs="Arial"/>
          <w:color w:val="000000" w:themeColor="text1"/>
          <w:highlight w:val="white"/>
          <w:lang w:val="sr-Cyrl-RS"/>
          <w14:textFill>
            <w14:solidFill>
              <w14:schemeClr w14:val="tx1"/>
            </w14:solidFill>
          </w14:textFill>
        </w:rPr>
      </w:pPr>
      <w:r>
        <w:rPr>
          <w:rFonts w:ascii="Arial" w:hAnsi="Arial" w:cs="Arial"/>
          <w:color w:val="000000" w:themeColor="text1"/>
          <w:highlight w:val="white"/>
          <w:lang w:val="sr-Cyrl-RS"/>
          <w14:textFill>
            <w14:solidFill>
              <w14:schemeClr w14:val="tx1"/>
            </w14:solidFill>
          </w14:textFill>
        </w:rPr>
        <w:t>5.МАРКЕТИНГ И ДИСТРИБУЦИЈА</w:t>
      </w:r>
    </w:p>
    <w:tbl>
      <w:tblPr>
        <w:tblStyle w:val="6"/>
        <w:tblW w:w="9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05"/>
        <w:gridCol w:w="4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9" w:hRule="atLeast"/>
        </w:trPr>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СНАГЕ</w:t>
            </w:r>
          </w:p>
        </w:tc>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СЛАБОСТИ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42"/>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Постојање Туристичке организације</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Укупна промоција Србије на домаћем и међународном тржишту као дестинације богате природним и културним атракцијама</w:t>
            </w:r>
          </w:p>
          <w:p>
            <w:pPr>
              <w:spacing w:line="276" w:lineRule="auto"/>
              <w:rPr>
                <w:rFonts w:ascii="Arial" w:hAnsi="Arial" w:cs="Arial"/>
                <w:color w:val="000000" w:themeColor="text1"/>
                <w:lang w:val="sr-Cyrl-RS"/>
                <w14:textFill>
                  <w14:solidFill>
                    <w14:schemeClr w14:val="tx1"/>
                  </w14:solidFill>
                </w14:textFill>
              </w:rPr>
            </w:pPr>
          </w:p>
        </w:tc>
        <w:tc>
          <w:tcPr>
            <w:tcW w:w="4505" w:type="dxa"/>
          </w:tcPr>
          <w:p>
            <w:pPr>
              <w:pBdr>
                <w:top w:val="none" w:color="auto" w:sz="0" w:space="0"/>
                <w:left w:val="none" w:color="auto" w:sz="0" w:space="0"/>
                <w:bottom w:val="none" w:color="auto" w:sz="0" w:space="0"/>
                <w:right w:val="none" w:color="auto" w:sz="0" w:space="0"/>
                <w:between w:val="none" w:color="auto" w:sz="0" w:space="0"/>
              </w:pBdr>
              <w:spacing w:line="276" w:lineRule="auto"/>
              <w:rPr>
                <w:rFonts w:ascii="Arial" w:hAnsi="Arial" w:cs="Arial"/>
                <w:color w:val="000000" w:themeColor="text1"/>
                <w:lang w:val="sr-Cyrl-RS"/>
                <w14:textFill>
                  <w14:solidFill>
                    <w14:schemeClr w14:val="tx1"/>
                  </w14:solidFill>
                </w14:textFill>
              </w:rPr>
            </w:pP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Недовољно изграђен имиџ дестинације</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Непостојање интегрисаног туристичког производа (продаја само дела услуга и то парцијално пр.храна, смештај и слично)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trPr>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ПРИЛИКЕ</w:t>
            </w:r>
          </w:p>
        </w:tc>
        <w:tc>
          <w:tcPr>
            <w:tcW w:w="4505" w:type="dxa"/>
            <w:shd w:val="clear" w:color="auto" w:fill="7F7F7F"/>
            <w:vAlign w:val="center"/>
          </w:tcPr>
          <w:p>
            <w:pPr>
              <w:spacing w:line="276" w:lineRule="auto"/>
              <w:jc w:val="center"/>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ПРЕТЊЕ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4505" w:type="dxa"/>
          </w:tcPr>
          <w:p>
            <w:pPr>
              <w:numPr>
                <w:ilvl w:val="0"/>
                <w:numId w:val="43"/>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Брендирање и нова стратегија развоја</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Синергије са другим туристичким организацијама у околини (Ниш)</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Сазревање свести о значају туризма (интерни маркетинг) </w:t>
            </w:r>
          </w:p>
          <w:p>
            <w:pPr>
              <w:spacing w:line="276" w:lineRule="auto"/>
              <w:rPr>
                <w:rFonts w:ascii="Arial" w:hAnsi="Arial" w:cs="Arial"/>
                <w:color w:val="000000" w:themeColor="text1"/>
                <w:lang w:val="sr-Cyrl-RS"/>
                <w14:textFill>
                  <w14:solidFill>
                    <w14:schemeClr w14:val="tx1"/>
                  </w14:solidFill>
                </w14:textFill>
              </w:rPr>
            </w:pPr>
          </w:p>
        </w:tc>
        <w:tc>
          <w:tcPr>
            <w:tcW w:w="4505" w:type="dxa"/>
          </w:tcPr>
          <w:p>
            <w:pPr>
              <w:numPr>
                <w:ilvl w:val="0"/>
                <w:numId w:val="43"/>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 спровођење Оперативног маркетинг плана</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160" w:line="27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Неприпремљеност (свест и мотивација) локалних актера на заједничко деловање у туристичком маркетингу</w:t>
            </w:r>
          </w:p>
          <w:p>
            <w:pPr>
              <w:spacing w:line="276" w:lineRule="auto"/>
              <w:rPr>
                <w:rFonts w:ascii="Arial" w:hAnsi="Arial" w:cs="Arial"/>
                <w:color w:val="000000" w:themeColor="text1"/>
                <w:lang w:val="sr-Cyrl-RS"/>
                <w14:textFill>
                  <w14:solidFill>
                    <w14:schemeClr w14:val="tx1"/>
                  </w14:solidFill>
                </w14:textFill>
              </w:rPr>
            </w:pPr>
          </w:p>
        </w:tc>
      </w:tr>
    </w:tbl>
    <w:p>
      <w:pPr>
        <w:rPr>
          <w:rFonts w:ascii="Arial" w:hAnsi="Arial" w:cs="Arial"/>
          <w:color w:val="000000" w:themeColor="text1"/>
          <w:lang w:val="sr-Cyrl-RS" w:eastAsia="en-US"/>
          <w14:textFill>
            <w14:solidFill>
              <w14:schemeClr w14:val="tx1"/>
            </w14:solidFill>
          </w14:textFill>
        </w:rPr>
      </w:pPr>
    </w:p>
    <w:p>
      <w:pPr>
        <w:spacing w:line="203" w:lineRule="exact"/>
        <w:rPr>
          <w:rFonts w:ascii="Arial" w:hAnsi="Arial" w:cs="Arial"/>
          <w:lang w:val="sr-Cyrl-RS"/>
        </w:rPr>
      </w:pPr>
    </w:p>
    <w:p>
      <w:pPr>
        <w:spacing w:line="203" w:lineRule="exact"/>
        <w:rPr>
          <w:rFonts w:ascii="Arial" w:hAnsi="Arial" w:cs="Arial"/>
          <w:lang w:val="sr-Cyrl-RS"/>
        </w:rPr>
      </w:pPr>
    </w:p>
    <w:p>
      <w:pPr>
        <w:spacing w:line="203" w:lineRule="exact"/>
        <w:rPr>
          <w:rFonts w:ascii="Arial" w:hAnsi="Arial" w:cs="Arial"/>
          <w:lang w:val="sr-Cyrl-RS"/>
        </w:rPr>
      </w:pPr>
    </w:p>
    <w:p>
      <w:pPr>
        <w:spacing w:line="203" w:lineRule="exact"/>
        <w:rPr>
          <w:rFonts w:ascii="Arial" w:hAnsi="Arial" w:cs="Arial"/>
          <w:lang w:val="sr-Cyrl-RS"/>
        </w:rPr>
      </w:pPr>
      <w:r>
        <w:rPr>
          <w:rFonts w:ascii="Arial" w:hAnsi="Arial" w:cs="Arial"/>
          <w:lang w:val="sr-Cyrl-RS"/>
        </w:rPr>
        <w:t>Закључак SWОТ анализе:</w:t>
      </w:r>
    </w:p>
    <w:p>
      <w:pPr>
        <w:rPr>
          <w:lang w:val="sr-Cyrl-RS"/>
        </w:rPr>
      </w:pPr>
    </w:p>
    <w:p>
      <w:pPr>
        <w:jc w:val="both"/>
        <w:rPr>
          <w:rFonts w:ascii="Arial" w:hAnsi="Arial"/>
          <w:lang w:val="sr-Cyrl-RS"/>
        </w:rPr>
      </w:pPr>
      <w:r>
        <w:rPr>
          <w:rFonts w:ascii="Arial" w:hAnsi="Arial"/>
          <w:lang w:val="sr-Cyrl-RS"/>
        </w:rPr>
        <w:t>На основу изведених анализа може се закључити да је на туристичком простору општине Гаџин Хан  потребно искористити Снаге на којима је могуће засновати даљи туристички развој. Слабости дестинације неопходно је претворити у снаге, претње минимизирати,  а прилике максимално искористити како би се унапредио развој туризма на целокупном подручју општине Гаџин Хан.</w:t>
      </w:r>
    </w:p>
    <w:p>
      <w:pPr>
        <w:jc w:val="both"/>
        <w:rPr>
          <w:rFonts w:ascii="Arial" w:hAnsi="Arial"/>
          <w:lang w:val="sr-Cyrl-RS"/>
        </w:rPr>
      </w:pPr>
    </w:p>
    <w:p>
      <w:pPr>
        <w:pStyle w:val="51"/>
        <w:numPr>
          <w:ilvl w:val="0"/>
          <w:numId w:val="44"/>
        </w:numPr>
        <w:jc w:val="both"/>
        <w:rPr>
          <w:rFonts w:ascii="Arial" w:hAnsi="Arial"/>
          <w:lang w:val="sr-Cyrl-RS"/>
        </w:rPr>
      </w:pPr>
      <w:r>
        <w:rPr>
          <w:rFonts w:ascii="Arial" w:hAnsi="Arial"/>
          <w:lang w:val="sr-Cyrl-RS"/>
        </w:rPr>
        <w:t xml:space="preserve">Снаге постоје у низ елемената као што су изузетно природно богатство и нетакнута природу, погранични и подунавски положај, те амбиције постојећих привредних субјеката и квалитет и доступност земљишта. Оне чине моћ дестинације да развија приоритетне туристичке производе и побољша животни стандард локалног становништва. </w:t>
      </w:r>
    </w:p>
    <w:p>
      <w:pPr>
        <w:pStyle w:val="51"/>
        <w:jc w:val="both"/>
        <w:rPr>
          <w:rFonts w:ascii="Arial" w:hAnsi="Arial"/>
          <w:lang w:val="sr-Cyrl-RS"/>
        </w:rPr>
      </w:pPr>
      <w:r>
        <w:rPr>
          <w:rFonts w:ascii="Arial" w:hAnsi="Arial"/>
          <w:lang w:val="sr-Cyrl-RS"/>
        </w:rPr>
        <w:t xml:space="preserve">Највеће снаге за развој туризма општине Гаџин Хан су природни потенцијали Суве планине,као ипланина Селичевица и Бабичка гора. Природни предели и локалитети погодују креирању атрактивних садржаја у области производа специјалних интереса (пешачење, планинарење, бициклизам, планински бициклизам,брање лековитог и зачинског биља, камповање, посматрање птица и друго). Такође, снага за развој производа руралног туризма на овом подручју јесте и велики број села у природном окружењу, која су релативно добро повезана. </w:t>
      </w:r>
    </w:p>
    <w:p>
      <w:pPr>
        <w:pStyle w:val="51"/>
        <w:numPr>
          <w:ilvl w:val="0"/>
          <w:numId w:val="44"/>
        </w:numPr>
        <w:jc w:val="both"/>
        <w:rPr>
          <w:rFonts w:ascii="Arial" w:hAnsi="Arial"/>
          <w:lang w:val="sr-Cyrl-RS"/>
        </w:rPr>
      </w:pPr>
      <w:r>
        <w:rPr>
          <w:rFonts w:ascii="Arial" w:hAnsi="Arial"/>
          <w:lang w:val="sr-Cyrl-RS"/>
        </w:rPr>
        <w:t>Слабости су углавном повезане са елементима туристичке понуде и неадекватним људским и стручним капацитетима. Неопходно је радити на едукацији кадрова, али и на демографској политици, како би се постигао довољан квалитет за пријем и боравак туриста у селима и на Сувој планини. Отклањањем слабости постиже се  јача шанса за повећање туристичког промета.</w:t>
      </w:r>
      <w:r>
        <w:rPr>
          <w:lang w:val="ru-RU"/>
        </w:rPr>
        <w:t xml:space="preserve"> </w:t>
      </w:r>
      <w:r>
        <w:rPr>
          <w:rFonts w:ascii="Arial" w:hAnsi="Arial"/>
          <w:lang w:val="sr-Cyrl-RS"/>
        </w:rPr>
        <w:t>За ефикасније активирање туризма на подручју општине Гаџин Хан потребна је обука локалног становништва за пружање услуга смештаја и исхране у приватном власништву, увођења стандарда, категорисања смештајних објеката, евиденције на порталу еТуриста.</w:t>
      </w:r>
    </w:p>
    <w:p>
      <w:pPr>
        <w:pStyle w:val="51"/>
        <w:jc w:val="both"/>
        <w:rPr>
          <w:rFonts w:ascii="Arial" w:hAnsi="Arial"/>
          <w:lang w:val="sr-Cyrl-RS"/>
        </w:rPr>
      </w:pPr>
      <w:r>
        <w:rPr>
          <w:rFonts w:ascii="Arial" w:hAnsi="Arial"/>
          <w:lang w:val="sr-Cyrl-RS"/>
        </w:rPr>
        <w:t>За унапређење руралног туризма основна слабост је лоша инфраструктура. Неопходна су даља улагања у путну инфраструктуру, сигнализацију и дигитализацију, како би се побољшала доступност и видљивост села и смештаја у домаћој радиности, као и доступност и коришћење стаза за туристички производ специјални интереси.</w:t>
      </w:r>
    </w:p>
    <w:p>
      <w:pPr>
        <w:pStyle w:val="51"/>
        <w:numPr>
          <w:ilvl w:val="0"/>
          <w:numId w:val="44"/>
        </w:numPr>
        <w:jc w:val="both"/>
        <w:rPr>
          <w:rFonts w:ascii="Arial" w:hAnsi="Arial"/>
          <w:lang w:val="sr-Cyrl-RS"/>
        </w:rPr>
      </w:pPr>
      <w:r>
        <w:rPr>
          <w:rFonts w:ascii="Arial" w:hAnsi="Arial"/>
          <w:lang w:val="sr-Cyrl-RS"/>
        </w:rPr>
        <w:t>На страни прилика истиче се оријентација и развојна начела ЕУ и Зелена Агенда која посебно подстиче рурални развој. Прилика је такође и глобално растући значај „Health and wellness“ индустрије.</w:t>
      </w:r>
    </w:p>
    <w:p>
      <w:pPr>
        <w:ind w:left="720"/>
        <w:jc w:val="both"/>
        <w:rPr>
          <w:rFonts w:ascii="Arial" w:hAnsi="Arial"/>
          <w:lang w:val="sr-Cyrl-RS"/>
        </w:rPr>
      </w:pPr>
      <w:r>
        <w:rPr>
          <w:rFonts w:ascii="Arial" w:hAnsi="Arial"/>
          <w:lang w:val="sr-Cyrl-RS"/>
        </w:rPr>
        <w:t>За туристичку дестинацију Гаџин Хан свакако је прилика и израда и спровођење стратешких докумената, јер</w:t>
      </w:r>
      <w:r>
        <w:rPr>
          <w:lang w:val="sr-Cyrl-RS"/>
        </w:rPr>
        <w:t xml:space="preserve"> </w:t>
      </w:r>
      <w:r>
        <w:rPr>
          <w:rFonts w:ascii="Arial" w:hAnsi="Arial"/>
          <w:lang w:val="sr-Cyrl-RS"/>
        </w:rPr>
        <w:t>плански развој туризма Гаџиног Хана са селома и Сувом планином ће свакако допринети решавању проблема незапослености у кратком року и активацији запуштених и</w:t>
      </w:r>
    </w:p>
    <w:p>
      <w:pPr>
        <w:ind w:firstLine="720"/>
        <w:jc w:val="both"/>
        <w:rPr>
          <w:rFonts w:ascii="Arial" w:hAnsi="Arial"/>
          <w:lang w:val="sr-Cyrl-RS"/>
        </w:rPr>
      </w:pPr>
      <w:r>
        <w:rPr>
          <w:rFonts w:ascii="Arial" w:hAnsi="Arial"/>
          <w:lang w:val="sr-Cyrl-RS"/>
        </w:rPr>
        <w:t>неискоришћених ресурса којима ова дестинација обилује.</w:t>
      </w:r>
    </w:p>
    <w:p>
      <w:pPr>
        <w:pStyle w:val="51"/>
        <w:numPr>
          <w:ilvl w:val="0"/>
          <w:numId w:val="44"/>
        </w:numPr>
        <w:jc w:val="both"/>
        <w:rPr>
          <w:rFonts w:ascii="Arial" w:hAnsi="Arial"/>
          <w:lang w:val="sr-Cyrl-RS"/>
        </w:rPr>
      </w:pPr>
      <w:r>
        <w:rPr>
          <w:rFonts w:ascii="Arial" w:hAnsi="Arial"/>
          <w:lang w:val="sr-Cyrl-RS"/>
        </w:rPr>
        <w:t>Претње дугорочном развоју туризма посматраног подручја јесте неделовање у смеру заустављања одлива становништва у средњем року, као и могући негативни ефекти и преливање економске кризе. Нарочита претња везана за одлив становништва видљива је и кроз демографске приказе, те се општина Гаџин Хан сматра за једну од најугроженијих општина везано за константни одлив становништва од периода после 80-тих година 20 века. Оснаживањем сеоских домаћинстава за бављење руралним туризмом, стварају се прилике за запошљавање локалног становништва, те евентуално настањивање младих.</w:t>
      </w:r>
    </w:p>
    <w:p>
      <w:pPr>
        <w:pStyle w:val="51"/>
        <w:jc w:val="both"/>
        <w:rPr>
          <w:rFonts w:ascii="Arial" w:hAnsi="Arial"/>
          <w:lang w:val="sr-Cyrl-RS"/>
        </w:rPr>
      </w:pPr>
      <w:r>
        <w:rPr>
          <w:rFonts w:ascii="Arial" w:hAnsi="Arial"/>
          <w:lang w:val="sr-Cyrl-RS"/>
        </w:rPr>
        <w:t>Туристички развој неће моћи да самостално осигура брз економски развој</w:t>
      </w:r>
    </w:p>
    <w:p>
      <w:pPr>
        <w:ind w:left="709"/>
        <w:jc w:val="both"/>
        <w:rPr>
          <w:rFonts w:ascii="Arial" w:hAnsi="Arial" w:cs="Arial"/>
          <w:color w:val="000000" w:themeColor="text1"/>
          <w:lang w:val="sr-Cyrl-RS" w:eastAsia="en-US"/>
          <w14:textFill>
            <w14:solidFill>
              <w14:schemeClr w14:val="tx1"/>
            </w14:solidFill>
          </w14:textFill>
        </w:rPr>
      </w:pPr>
      <w:r>
        <w:rPr>
          <w:rFonts w:ascii="Arial" w:hAnsi="Arial"/>
          <w:lang w:val="sr-Cyrl-RS"/>
        </w:rPr>
        <w:t>подручја општине Гаџин Хан и демографску обнову села, али ће у средњем и дугом року сигурно допринети заустављању даљег одлива становништва и створити нове прилике за останак на селу.</w:t>
      </w:r>
    </w:p>
    <w:p>
      <w:pPr>
        <w:rPr>
          <w:rFonts w:ascii="Arial" w:hAnsi="Arial" w:cs="Arial"/>
          <w:color w:val="000000" w:themeColor="text1"/>
          <w:lang w:val="sr-Cyrl-RS" w:eastAsia="en-US"/>
          <w14:textFill>
            <w14:solidFill>
              <w14:schemeClr w14:val="tx1"/>
            </w14:solidFill>
          </w14:textFill>
        </w:rPr>
      </w:pPr>
    </w:p>
    <w:p>
      <w:pPr>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br w:type="page"/>
      </w:r>
    </w:p>
    <w:p>
      <w:pPr>
        <w:pStyle w:val="2"/>
        <w:rPr>
          <w:rFonts w:ascii="Arial" w:hAnsi="Arial" w:eastAsia="Arial" w:cs="Arial"/>
          <w:b/>
          <w:bCs w:val="0"/>
          <w:sz w:val="24"/>
          <w:szCs w:val="24"/>
          <w:lang w:val="sr-Cyrl-RS"/>
        </w:rPr>
      </w:pPr>
      <w:bookmarkStart w:id="82" w:name="_Toc159226532"/>
      <w:r>
        <w:rPr>
          <w:rFonts w:ascii="Arial" w:hAnsi="Arial" w:eastAsia="Arial" w:cs="Arial"/>
          <w:b/>
          <w:bCs w:val="0"/>
          <w:sz w:val="24"/>
          <w:szCs w:val="24"/>
          <w:lang w:val="sr-Cyrl-RS"/>
        </w:rPr>
        <w:t>7. ДЕФИНИСАЊЕ КЉУЧНИХ ТУРИСТИЧКИХ ПРОИЗВОДА ОПШТИНЕ ГАЏИН ХАН</w:t>
      </w:r>
      <w:bookmarkEnd w:id="82"/>
    </w:p>
    <w:p>
      <w:pPr>
        <w:spacing w:line="250" w:lineRule="exact"/>
        <w:rPr>
          <w:lang w:val="sr-Cyrl-RS"/>
        </w:rPr>
      </w:pPr>
    </w:p>
    <w:p>
      <w:pPr>
        <w:spacing w:line="250" w:lineRule="auto"/>
        <w:ind w:right="20"/>
        <w:jc w:val="both"/>
        <w:rPr>
          <w:rFonts w:ascii="Arial" w:hAnsi="Arial" w:eastAsia="Arial"/>
          <w:lang w:val="sr-Cyrl-RS"/>
        </w:rPr>
      </w:pPr>
      <w:r>
        <w:rPr>
          <w:rFonts w:ascii="Arial" w:hAnsi="Arial" w:eastAsia="Arial"/>
          <w:lang w:val="sr-Cyrl-RS"/>
        </w:rPr>
        <w:t>Основу понуде на кратки рок чине производи Туризам специјалних интереса, те  рурални  туризам. Ови производи постоје на дестинацији и уз појачање маркетиншких активности могу се одмах дистрибуирати и конзумирати.</w:t>
      </w:r>
    </w:p>
    <w:p>
      <w:pPr>
        <w:spacing w:line="20" w:lineRule="exact"/>
        <w:rPr>
          <w:lang w:val="sr-Cyrl-RS"/>
        </w:rPr>
      </w:pPr>
    </w:p>
    <w:p>
      <w:pPr>
        <w:spacing w:line="200" w:lineRule="exact"/>
        <w:rPr>
          <w:lang w:val="sr-Cyrl-RS"/>
        </w:rPr>
      </w:pPr>
    </w:p>
    <w:p>
      <w:pPr>
        <w:spacing w:line="0" w:lineRule="atLeast"/>
        <w:rPr>
          <w:rFonts w:ascii="Arial" w:hAnsi="Arial" w:eastAsia="Arial"/>
          <w:b/>
          <w:lang w:val="sr-Cyrl-RS"/>
        </w:rPr>
      </w:pPr>
      <w:r>
        <w:rPr>
          <w:rFonts w:ascii="Arial" w:hAnsi="Arial" w:eastAsia="Arial"/>
          <w:b/>
          <w:lang w:val="sr-Cyrl-RS"/>
        </w:rPr>
        <w:t>Активности на унапређењу туристичких производа:</w:t>
      </w:r>
    </w:p>
    <w:p>
      <w:pPr>
        <w:spacing w:line="274" w:lineRule="exact"/>
        <w:rPr>
          <w:lang w:val="sr-Cyrl-RS"/>
        </w:rPr>
      </w:pPr>
    </w:p>
    <w:p>
      <w:pPr>
        <w:spacing w:line="0" w:lineRule="atLeast"/>
        <w:rPr>
          <w:rFonts w:ascii="Arial" w:hAnsi="Arial" w:eastAsia="Arial"/>
          <w:b/>
          <w:lang w:val="sr-Cyrl-RS"/>
        </w:rPr>
      </w:pPr>
      <w:r>
        <w:rPr>
          <w:rFonts w:ascii="Arial" w:hAnsi="Arial" w:eastAsia="Arial"/>
          <w:b/>
          <w:lang w:val="sr-Cyrl-RS"/>
        </w:rPr>
        <w:t>Туризам специјалних интереса:</w:t>
      </w:r>
    </w:p>
    <w:p>
      <w:pPr>
        <w:spacing w:line="300" w:lineRule="exact"/>
        <w:rPr>
          <w:lang w:val="sr-Cyrl-RS"/>
        </w:rPr>
      </w:pPr>
    </w:p>
    <w:p>
      <w:pPr>
        <w:numPr>
          <w:ilvl w:val="0"/>
          <w:numId w:val="45"/>
        </w:numPr>
        <w:tabs>
          <w:tab w:val="left" w:pos="720"/>
        </w:tabs>
        <w:spacing w:line="0" w:lineRule="atLeast"/>
        <w:ind w:left="720" w:hanging="359"/>
        <w:rPr>
          <w:rFonts w:ascii="Arial" w:hAnsi="Arial" w:eastAsia="Arial"/>
          <w:lang w:val="sr-Cyrl-RS"/>
        </w:rPr>
      </w:pPr>
      <w:r>
        <w:rPr>
          <w:rFonts w:ascii="Arial" w:hAnsi="Arial" w:eastAsia="Arial"/>
          <w:lang w:val="sr-Cyrl-RS"/>
        </w:rPr>
        <w:t>Израда и уређење бициклистичких и пешачких стаза</w:t>
      </w:r>
    </w:p>
    <w:p>
      <w:pPr>
        <w:spacing w:line="64" w:lineRule="exact"/>
        <w:rPr>
          <w:rFonts w:ascii="Arial" w:hAnsi="Arial" w:eastAsia="Arial"/>
          <w:lang w:val="sr-Cyrl-RS"/>
        </w:rPr>
      </w:pPr>
    </w:p>
    <w:p>
      <w:pPr>
        <w:numPr>
          <w:ilvl w:val="0"/>
          <w:numId w:val="45"/>
        </w:numPr>
        <w:tabs>
          <w:tab w:val="left" w:pos="720"/>
        </w:tabs>
        <w:spacing w:line="271" w:lineRule="auto"/>
        <w:ind w:left="720" w:right="20" w:hanging="359"/>
        <w:jc w:val="both"/>
        <w:rPr>
          <w:rFonts w:ascii="Arial" w:hAnsi="Arial" w:eastAsia="Arial"/>
          <w:lang w:val="sr-Cyrl-RS"/>
        </w:rPr>
      </w:pPr>
      <w:r>
        <w:rPr>
          <w:rFonts w:ascii="Arial" w:hAnsi="Arial" w:eastAsia="Arial"/>
          <w:lang w:val="sr-Cyrl-RS"/>
        </w:rPr>
        <w:t>Додатна и континуирана унапређења које се односе на саобраћајну и туристичку сигнализацију (нпр. обележавање бициклистичких и пешачких стаза).</w:t>
      </w:r>
    </w:p>
    <w:p>
      <w:pPr>
        <w:spacing w:line="35" w:lineRule="exact"/>
        <w:rPr>
          <w:rFonts w:ascii="Arial" w:hAnsi="Arial" w:eastAsia="Arial"/>
          <w:lang w:val="sr-Cyrl-RS"/>
        </w:rPr>
      </w:pPr>
    </w:p>
    <w:p>
      <w:pPr>
        <w:numPr>
          <w:ilvl w:val="0"/>
          <w:numId w:val="45"/>
        </w:numPr>
        <w:tabs>
          <w:tab w:val="left" w:pos="720"/>
        </w:tabs>
        <w:spacing w:line="264" w:lineRule="auto"/>
        <w:ind w:left="720" w:right="20" w:hanging="359"/>
        <w:rPr>
          <w:rFonts w:ascii="Arial" w:hAnsi="Arial" w:eastAsia="Arial"/>
          <w:lang w:val="sr-Cyrl-RS"/>
        </w:rPr>
      </w:pPr>
      <w:r>
        <w:rPr>
          <w:rFonts w:ascii="Arial" w:hAnsi="Arial" w:eastAsia="Arial"/>
          <w:lang w:val="sr-Cyrl-RS"/>
        </w:rPr>
        <w:t>Повећање конкурентности издиференцираних пешачких рута, креирање туристичких пакета и унапређење промоције истих</w:t>
      </w:r>
    </w:p>
    <w:p>
      <w:pPr>
        <w:spacing w:line="42" w:lineRule="exact"/>
        <w:rPr>
          <w:rFonts w:ascii="Arial" w:hAnsi="Arial" w:eastAsia="Arial"/>
          <w:lang w:val="sr-Cyrl-RS"/>
        </w:rPr>
      </w:pPr>
    </w:p>
    <w:p>
      <w:pPr>
        <w:numPr>
          <w:ilvl w:val="0"/>
          <w:numId w:val="45"/>
        </w:numPr>
        <w:tabs>
          <w:tab w:val="left" w:pos="720"/>
        </w:tabs>
        <w:spacing w:line="269" w:lineRule="auto"/>
        <w:ind w:left="720" w:hanging="359"/>
        <w:jc w:val="both"/>
        <w:rPr>
          <w:rFonts w:ascii="Arial" w:hAnsi="Arial" w:eastAsia="Arial"/>
          <w:lang w:val="sr-Cyrl-RS"/>
        </w:rPr>
      </w:pPr>
      <w:r>
        <w:rPr>
          <w:rFonts w:ascii="Arial" w:hAnsi="Arial" w:eastAsia="Arial"/>
          <w:lang w:val="sr-Cyrl-RS"/>
        </w:rPr>
        <w:t>Изградња паркиралишта и одморишта за бициклисте и планинаре (локалних знаменитости и атракција, видиковцима, угоститељски објекти, кампове итд.)</w:t>
      </w:r>
    </w:p>
    <w:p>
      <w:pPr>
        <w:spacing w:line="42" w:lineRule="exact"/>
        <w:rPr>
          <w:rFonts w:ascii="Arial" w:hAnsi="Arial" w:eastAsia="Arial"/>
          <w:lang w:val="sr-Cyrl-RS"/>
        </w:rPr>
      </w:pPr>
    </w:p>
    <w:p>
      <w:pPr>
        <w:numPr>
          <w:ilvl w:val="0"/>
          <w:numId w:val="45"/>
        </w:numPr>
        <w:tabs>
          <w:tab w:val="left" w:pos="720"/>
        </w:tabs>
        <w:spacing w:line="264" w:lineRule="auto"/>
        <w:ind w:left="720" w:right="20" w:hanging="359"/>
        <w:rPr>
          <w:rFonts w:ascii="Arial" w:hAnsi="Arial" w:eastAsia="Arial"/>
          <w:lang w:val="sr-Cyrl-RS"/>
        </w:rPr>
      </w:pPr>
      <w:r>
        <w:rPr>
          <w:rFonts w:ascii="Arial" w:hAnsi="Arial" w:eastAsia="Arial"/>
          <w:lang w:val="sr-Cyrl-RS"/>
        </w:rPr>
        <w:t>Постављање канти за отпад и контрола важних туристичких атракција и пунктова</w:t>
      </w:r>
    </w:p>
    <w:p>
      <w:pPr>
        <w:spacing w:line="32" w:lineRule="exact"/>
        <w:rPr>
          <w:rFonts w:ascii="Arial" w:hAnsi="Arial" w:eastAsia="Arial"/>
          <w:lang w:val="sr-Cyrl-RS"/>
        </w:rPr>
      </w:pPr>
    </w:p>
    <w:p>
      <w:pPr>
        <w:numPr>
          <w:ilvl w:val="0"/>
          <w:numId w:val="45"/>
        </w:numPr>
        <w:tabs>
          <w:tab w:val="left" w:pos="720"/>
        </w:tabs>
        <w:spacing w:line="0" w:lineRule="atLeast"/>
        <w:ind w:left="720" w:hanging="359"/>
        <w:rPr>
          <w:rFonts w:ascii="Arial" w:hAnsi="Arial" w:eastAsia="Arial"/>
          <w:lang w:val="sr-Cyrl-RS"/>
        </w:rPr>
      </w:pPr>
      <w:r>
        <w:rPr>
          <w:rFonts w:ascii="Arial" w:hAnsi="Arial" w:eastAsia="Arial"/>
          <w:lang w:val="sr-Cyrl-RS"/>
        </w:rPr>
        <w:t>Редовно сакупљање отпада</w:t>
      </w:r>
    </w:p>
    <w:p>
      <w:pPr>
        <w:spacing w:line="59" w:lineRule="exact"/>
        <w:rPr>
          <w:rFonts w:ascii="Arial" w:hAnsi="Arial" w:eastAsia="Arial"/>
          <w:lang w:val="sr-Cyrl-RS"/>
        </w:rPr>
      </w:pPr>
    </w:p>
    <w:p>
      <w:pPr>
        <w:numPr>
          <w:ilvl w:val="0"/>
          <w:numId w:val="45"/>
        </w:numPr>
        <w:tabs>
          <w:tab w:val="left" w:pos="720"/>
        </w:tabs>
        <w:spacing w:line="0" w:lineRule="atLeast"/>
        <w:ind w:left="720" w:hanging="359"/>
        <w:rPr>
          <w:rFonts w:ascii="Arial" w:hAnsi="Arial" w:eastAsia="Arial"/>
          <w:lang w:val="sr-Cyrl-RS"/>
        </w:rPr>
      </w:pPr>
      <w:r>
        <w:rPr>
          <w:rFonts w:ascii="Arial" w:hAnsi="Arial" w:eastAsia="Arial"/>
          <w:lang w:val="sr-Cyrl-RS"/>
        </w:rPr>
        <w:t>Едукација планинарскик и еко водича на дестинацији</w:t>
      </w:r>
    </w:p>
    <w:p>
      <w:pPr>
        <w:pStyle w:val="51"/>
        <w:rPr>
          <w:rFonts w:ascii="Arial" w:hAnsi="Arial" w:eastAsia="Arial"/>
          <w:lang w:val="sr-Cyrl-RS"/>
        </w:rPr>
      </w:pPr>
    </w:p>
    <w:p>
      <w:pPr>
        <w:numPr>
          <w:ilvl w:val="0"/>
          <w:numId w:val="46"/>
        </w:numPr>
        <w:tabs>
          <w:tab w:val="left" w:pos="294"/>
        </w:tabs>
        <w:spacing w:line="237" w:lineRule="auto"/>
        <w:ind w:right="20" w:firstLine="1"/>
        <w:jc w:val="both"/>
        <w:rPr>
          <w:rFonts w:ascii="Arial" w:hAnsi="Arial" w:eastAsia="Arial"/>
          <w:lang w:val="sr-Cyrl-RS"/>
        </w:rPr>
      </w:pPr>
      <w:r>
        <w:rPr>
          <w:rFonts w:ascii="Arial" w:hAnsi="Arial" w:eastAsia="Arial"/>
          <w:lang w:val="sr-Cyrl-RS"/>
        </w:rPr>
        <w:t>друге стране производи који се могу развити у дужем року су посебна интересовања. За њих је потребно више улагања у инфраструктуру како би се довели до адекватног стања за употребу за туристе. Производи који дају додатну вредност свим осталим производима су манифестације, као и културне тематске руте.</w:t>
      </w:r>
    </w:p>
    <w:p>
      <w:pPr>
        <w:spacing w:line="200" w:lineRule="exact"/>
        <w:rPr>
          <w:lang w:val="sr-Cyrl-RS"/>
        </w:rPr>
      </w:pPr>
    </w:p>
    <w:p>
      <w:pPr>
        <w:spacing w:line="395" w:lineRule="exact"/>
        <w:rPr>
          <w:lang w:val="sr-Cyrl-RS"/>
        </w:rPr>
      </w:pPr>
    </w:p>
    <w:p>
      <w:pPr>
        <w:spacing w:line="0" w:lineRule="atLeast"/>
        <w:rPr>
          <w:rFonts w:ascii="Arial" w:hAnsi="Arial" w:eastAsia="Arial"/>
          <w:b/>
          <w:lang w:val="sr-Cyrl-RS"/>
        </w:rPr>
      </w:pPr>
      <w:r>
        <w:rPr>
          <w:rFonts w:ascii="Arial" w:hAnsi="Arial" w:eastAsia="Arial"/>
          <w:b/>
          <w:lang w:val="sr-Cyrl-RS"/>
        </w:rPr>
        <w:t>Туризам специјалних интереса (Лов, риболов, посматрање птица):</w:t>
      </w:r>
    </w:p>
    <w:p>
      <w:pPr>
        <w:spacing w:line="274" w:lineRule="exact"/>
        <w:rPr>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Сарадња са Ловачким удружењем „Заплање“</w:t>
      </w:r>
    </w:p>
    <w:p>
      <w:pPr>
        <w:spacing w:line="44"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Одржавање шумски комуникацијски путеви</w:t>
      </w:r>
    </w:p>
    <w:p>
      <w:pPr>
        <w:spacing w:line="39"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Промоција на тематским сајмовима за лов, риболов и посматрање птица</w:t>
      </w:r>
    </w:p>
    <w:p>
      <w:pPr>
        <w:spacing w:line="44"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Едукација и обука водича  природне и еколошке туре</w:t>
      </w:r>
    </w:p>
    <w:p>
      <w:pPr>
        <w:spacing w:line="39"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Сређивање шумарских кућица и смештајне капацитете</w:t>
      </w:r>
    </w:p>
    <w:p>
      <w:pPr>
        <w:spacing w:line="54" w:lineRule="exact"/>
        <w:rPr>
          <w:rFonts w:ascii="Arial" w:hAnsi="Arial" w:eastAsia="Arial"/>
          <w:lang w:val="sr-Cyrl-RS"/>
        </w:rPr>
      </w:pPr>
    </w:p>
    <w:p>
      <w:pPr>
        <w:numPr>
          <w:ilvl w:val="0"/>
          <w:numId w:val="47"/>
        </w:numPr>
        <w:tabs>
          <w:tab w:val="left" w:pos="720"/>
        </w:tabs>
        <w:spacing w:line="264" w:lineRule="auto"/>
        <w:ind w:left="720" w:right="20" w:hanging="359"/>
        <w:rPr>
          <w:rFonts w:ascii="Arial" w:hAnsi="Arial" w:eastAsia="Arial"/>
          <w:lang w:val="sr-Cyrl-RS"/>
        </w:rPr>
      </w:pPr>
      <w:r>
        <w:rPr>
          <w:rFonts w:ascii="Arial" w:hAnsi="Arial" w:eastAsia="Arial"/>
          <w:lang w:val="sr-Cyrl-RS"/>
        </w:rPr>
        <w:t>Помоћ у организација манифестације ”Видовдански сабор” на Сувој планини</w:t>
      </w:r>
    </w:p>
    <w:p>
      <w:pPr>
        <w:spacing w:line="17"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Изградња ловачког дома</w:t>
      </w:r>
    </w:p>
    <w:p>
      <w:pPr>
        <w:spacing w:line="39"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Изградња и сређивање чека за посматрање птица и животиња</w:t>
      </w:r>
    </w:p>
    <w:p>
      <w:pPr>
        <w:spacing w:line="54" w:lineRule="exact"/>
        <w:rPr>
          <w:rFonts w:ascii="Arial" w:hAnsi="Arial" w:eastAsia="Arial"/>
          <w:lang w:val="sr-Cyrl-RS"/>
        </w:rPr>
      </w:pPr>
    </w:p>
    <w:p>
      <w:pPr>
        <w:numPr>
          <w:ilvl w:val="0"/>
          <w:numId w:val="47"/>
        </w:numPr>
        <w:tabs>
          <w:tab w:val="left" w:pos="720"/>
        </w:tabs>
        <w:spacing w:line="264" w:lineRule="auto"/>
        <w:ind w:left="720" w:right="20" w:hanging="359"/>
        <w:rPr>
          <w:rFonts w:ascii="Arial" w:hAnsi="Arial" w:eastAsia="Arial"/>
          <w:lang w:val="sr-Cyrl-RS"/>
        </w:rPr>
      </w:pPr>
      <w:r>
        <w:rPr>
          <w:rFonts w:ascii="Arial" w:hAnsi="Arial" w:eastAsia="Arial"/>
          <w:lang w:val="sr-Cyrl-RS"/>
        </w:rPr>
        <w:t>Креиране базе података свих лековитих биљних врста и зачина са описима</w:t>
      </w:r>
    </w:p>
    <w:p>
      <w:pPr>
        <w:spacing w:line="17" w:lineRule="exact"/>
        <w:rPr>
          <w:rFonts w:ascii="Arial" w:hAnsi="Arial" w:eastAsia="Arial"/>
          <w:lang w:val="sr-Cyrl-RS"/>
        </w:rPr>
      </w:pPr>
    </w:p>
    <w:p>
      <w:pPr>
        <w:numPr>
          <w:ilvl w:val="0"/>
          <w:numId w:val="47"/>
        </w:numPr>
        <w:tabs>
          <w:tab w:val="left" w:pos="720"/>
        </w:tabs>
        <w:spacing w:line="0" w:lineRule="atLeast"/>
        <w:ind w:left="720" w:hanging="359"/>
        <w:rPr>
          <w:rFonts w:ascii="Arial" w:hAnsi="Arial" w:eastAsia="Arial"/>
          <w:lang w:val="sr-Cyrl-RS"/>
        </w:rPr>
      </w:pPr>
      <w:r>
        <w:rPr>
          <w:rFonts w:ascii="Arial" w:hAnsi="Arial" w:eastAsia="Arial"/>
          <w:lang w:val="sr-Cyrl-RS"/>
        </w:rPr>
        <w:t>Организација посета произвођачима лековитог биља</w:t>
      </w:r>
    </w:p>
    <w:p>
      <w:pPr>
        <w:spacing w:line="200" w:lineRule="exact"/>
        <w:rPr>
          <w:lang w:val="sr-Cyrl-RS"/>
        </w:rPr>
      </w:pPr>
    </w:p>
    <w:p>
      <w:pPr>
        <w:tabs>
          <w:tab w:val="left" w:pos="720"/>
        </w:tabs>
        <w:spacing w:line="0" w:lineRule="atLeast"/>
        <w:ind w:left="720"/>
        <w:rPr>
          <w:rFonts w:ascii="Arial" w:hAnsi="Arial" w:eastAsia="Arial"/>
          <w:lang w:val="sr-Cyrl-RS"/>
        </w:rPr>
      </w:pPr>
    </w:p>
    <w:p>
      <w:pPr>
        <w:spacing w:line="314" w:lineRule="exact"/>
        <w:rPr>
          <w:lang w:val="sr-Cyrl-RS"/>
        </w:rPr>
      </w:pPr>
    </w:p>
    <w:p>
      <w:pPr>
        <w:spacing w:line="314" w:lineRule="exact"/>
        <w:rPr>
          <w:lang w:val="sr-Cyrl-RS"/>
        </w:rPr>
      </w:pPr>
    </w:p>
    <w:p>
      <w:pPr>
        <w:spacing w:line="314" w:lineRule="exact"/>
        <w:rPr>
          <w:lang w:val="sr-Cyrl-RS"/>
        </w:rPr>
      </w:pPr>
    </w:p>
    <w:p>
      <w:pPr>
        <w:spacing w:line="0" w:lineRule="atLeast"/>
        <w:rPr>
          <w:rFonts w:ascii="Arial" w:hAnsi="Arial" w:eastAsia="Arial"/>
          <w:b/>
          <w:lang w:val="sr-Cyrl-RS"/>
        </w:rPr>
      </w:pPr>
      <w:r>
        <w:rPr>
          <w:rFonts w:ascii="Arial" w:hAnsi="Arial" w:eastAsia="Arial"/>
          <w:b/>
          <w:lang w:val="sr-Cyrl-RS"/>
        </w:rPr>
        <w:t>Рурални туризам:</w:t>
      </w:r>
    </w:p>
    <w:p>
      <w:pPr>
        <w:spacing w:line="275" w:lineRule="exact"/>
        <w:rPr>
          <w:lang w:val="sr-Cyrl-RS"/>
        </w:rPr>
      </w:pPr>
    </w:p>
    <w:p>
      <w:pPr>
        <w:numPr>
          <w:ilvl w:val="0"/>
          <w:numId w:val="48"/>
        </w:numPr>
        <w:tabs>
          <w:tab w:val="left" w:pos="720"/>
        </w:tabs>
        <w:spacing w:line="0" w:lineRule="atLeast"/>
        <w:ind w:left="720" w:hanging="359"/>
        <w:rPr>
          <w:rFonts w:ascii="Arial" w:hAnsi="Arial" w:eastAsia="Arial"/>
          <w:lang w:val="sr-Cyrl-RS"/>
        </w:rPr>
      </w:pPr>
      <w:r>
        <w:rPr>
          <w:rFonts w:ascii="Arial" w:hAnsi="Arial" w:eastAsia="Arial"/>
          <w:lang w:val="sr-Cyrl-RS"/>
        </w:rPr>
        <w:t>Подстицање уређивања сеоских кућа и других  простора</w:t>
      </w:r>
    </w:p>
    <w:p>
      <w:pPr>
        <w:spacing w:line="39" w:lineRule="exact"/>
        <w:rPr>
          <w:rFonts w:ascii="Arial" w:hAnsi="Arial" w:eastAsia="Arial"/>
          <w:lang w:val="sr-Cyrl-RS"/>
        </w:rPr>
      </w:pPr>
    </w:p>
    <w:p>
      <w:pPr>
        <w:numPr>
          <w:ilvl w:val="0"/>
          <w:numId w:val="48"/>
        </w:numPr>
        <w:tabs>
          <w:tab w:val="left" w:pos="720"/>
        </w:tabs>
        <w:spacing w:line="0" w:lineRule="atLeast"/>
        <w:ind w:left="720" w:hanging="359"/>
        <w:rPr>
          <w:rFonts w:ascii="Arial" w:hAnsi="Arial" w:eastAsia="Arial"/>
          <w:lang w:val="sr-Cyrl-RS"/>
        </w:rPr>
      </w:pPr>
      <w:r>
        <w:rPr>
          <w:rFonts w:ascii="Arial" w:hAnsi="Arial" w:eastAsia="Arial"/>
          <w:lang w:val="sr-Cyrl-RS"/>
        </w:rPr>
        <w:t>Развој локалног туризма повезивање и умрежавање стејкхолдера</w:t>
      </w:r>
    </w:p>
    <w:p>
      <w:pPr>
        <w:spacing w:line="214" w:lineRule="exact"/>
        <w:rPr>
          <w:lang w:val="sr-Cyrl-RS"/>
        </w:rPr>
      </w:pPr>
    </w:p>
    <w:p>
      <w:pPr>
        <w:numPr>
          <w:ilvl w:val="1"/>
          <w:numId w:val="46"/>
        </w:numPr>
        <w:tabs>
          <w:tab w:val="left" w:pos="720"/>
        </w:tabs>
        <w:spacing w:line="0" w:lineRule="atLeast"/>
        <w:ind w:left="720" w:hanging="359"/>
        <w:rPr>
          <w:rFonts w:ascii="Arial" w:hAnsi="Arial" w:eastAsia="Arial"/>
          <w:lang w:val="sr-Cyrl-RS"/>
        </w:rPr>
      </w:pPr>
      <w:r>
        <w:rPr>
          <w:rFonts w:ascii="Arial" w:hAnsi="Arial" w:eastAsia="Arial"/>
          <w:lang w:val="sr-Cyrl-RS"/>
        </w:rPr>
        <w:t>Анимација културног простора (представе и перформанси)</w:t>
      </w:r>
    </w:p>
    <w:p>
      <w:pPr>
        <w:spacing w:line="49" w:lineRule="exact"/>
        <w:rPr>
          <w:rFonts w:ascii="Arial" w:hAnsi="Arial" w:eastAsia="Arial"/>
          <w:lang w:val="sr-Cyrl-RS"/>
        </w:rPr>
      </w:pPr>
    </w:p>
    <w:p>
      <w:pPr>
        <w:numPr>
          <w:ilvl w:val="1"/>
          <w:numId w:val="46"/>
        </w:numPr>
        <w:tabs>
          <w:tab w:val="left" w:pos="730"/>
        </w:tabs>
        <w:spacing w:line="268" w:lineRule="auto"/>
        <w:ind w:left="720" w:right="1020" w:hanging="359"/>
        <w:rPr>
          <w:rFonts w:ascii="Arial" w:hAnsi="Arial" w:eastAsia="Arial"/>
          <w:lang w:val="sr-Cyrl-RS"/>
        </w:rPr>
      </w:pPr>
      <w:r>
        <w:rPr>
          <w:rFonts w:ascii="Arial" w:hAnsi="Arial" w:eastAsia="Arial"/>
          <w:lang w:val="sr-Cyrl-RS"/>
        </w:rPr>
        <w:t>Спровођење едукација о уређењу смештајних и угоститељских капацитета, дочека гостију и пријема гостију и др.</w:t>
      </w:r>
    </w:p>
    <w:p>
      <w:pPr>
        <w:spacing w:line="19" w:lineRule="exact"/>
        <w:rPr>
          <w:rFonts w:ascii="Arial" w:hAnsi="Arial" w:eastAsia="Arial"/>
          <w:lang w:val="sr-Cyrl-RS"/>
        </w:rPr>
      </w:pPr>
    </w:p>
    <w:p>
      <w:pPr>
        <w:numPr>
          <w:ilvl w:val="1"/>
          <w:numId w:val="46"/>
        </w:numPr>
        <w:tabs>
          <w:tab w:val="left" w:pos="730"/>
        </w:tabs>
        <w:spacing w:line="271" w:lineRule="auto"/>
        <w:ind w:left="720" w:right="20" w:hanging="359"/>
        <w:rPr>
          <w:rFonts w:ascii="Arial" w:hAnsi="Arial" w:eastAsia="Arial"/>
          <w:lang w:val="sr-Cyrl-RS"/>
        </w:rPr>
      </w:pPr>
      <w:r>
        <w:rPr>
          <w:rFonts w:ascii="Arial" w:hAnsi="Arial" w:eastAsia="Arial"/>
          <w:lang w:val="sr-Cyrl-RS"/>
        </w:rPr>
        <w:t>Унапређење и интензивирање промоције локалних производа у контексту промоције дестинације како кроз креирање сувенира на тему типичних производа, тако и савременим приступом презентовања истих</w:t>
      </w:r>
    </w:p>
    <w:p>
      <w:pPr>
        <w:spacing w:line="9" w:lineRule="exact"/>
        <w:rPr>
          <w:rFonts w:ascii="Arial" w:hAnsi="Arial" w:eastAsia="Arial"/>
          <w:lang w:val="sr-Cyrl-RS"/>
        </w:rPr>
      </w:pPr>
    </w:p>
    <w:p>
      <w:pPr>
        <w:numPr>
          <w:ilvl w:val="1"/>
          <w:numId w:val="46"/>
        </w:numPr>
        <w:tabs>
          <w:tab w:val="left" w:pos="720"/>
        </w:tabs>
        <w:spacing w:line="0" w:lineRule="atLeast"/>
        <w:ind w:left="720" w:hanging="359"/>
        <w:rPr>
          <w:rFonts w:ascii="Arial" w:hAnsi="Arial" w:eastAsia="Arial"/>
          <w:lang w:val="sr-Cyrl-RS"/>
        </w:rPr>
      </w:pPr>
      <w:r>
        <w:rPr>
          <w:rFonts w:ascii="Arial" w:hAnsi="Arial" w:eastAsia="Arial"/>
          <w:lang w:val="sr-Cyrl-RS"/>
        </w:rPr>
        <w:t>Активности везане за заштита животне околине.</w:t>
      </w:r>
    </w:p>
    <w:p>
      <w:pPr>
        <w:pStyle w:val="51"/>
        <w:rPr>
          <w:rFonts w:ascii="Arial" w:hAnsi="Arial" w:eastAsia="Arial"/>
          <w:lang w:val="sr-Cyrl-RS"/>
        </w:rPr>
      </w:pPr>
    </w:p>
    <w:p>
      <w:pPr>
        <w:spacing w:line="0" w:lineRule="atLeast"/>
        <w:rPr>
          <w:rFonts w:ascii="Arial" w:hAnsi="Arial" w:eastAsia="Arial"/>
          <w:b/>
          <w:lang w:val="sr-Cyrl-RS"/>
        </w:rPr>
      </w:pPr>
      <w:r>
        <w:rPr>
          <w:rFonts w:ascii="Arial" w:hAnsi="Arial" w:eastAsia="Arial"/>
          <w:b/>
          <w:lang w:val="sr-Cyrl-RS"/>
        </w:rPr>
        <w:t>Културно тематске руте:</w:t>
      </w:r>
    </w:p>
    <w:p>
      <w:pPr>
        <w:spacing w:line="279" w:lineRule="exact"/>
        <w:rPr>
          <w:lang w:val="sr-Cyrl-RS"/>
        </w:rPr>
      </w:pPr>
    </w:p>
    <w:p>
      <w:pPr>
        <w:numPr>
          <w:ilvl w:val="0"/>
          <w:numId w:val="49"/>
        </w:numPr>
        <w:tabs>
          <w:tab w:val="left" w:pos="720"/>
        </w:tabs>
        <w:spacing w:line="0" w:lineRule="atLeast"/>
        <w:ind w:left="720" w:hanging="359"/>
        <w:rPr>
          <w:rFonts w:ascii="Arial" w:hAnsi="Arial" w:eastAsia="Arial"/>
          <w:lang w:val="sr-Cyrl-RS"/>
        </w:rPr>
      </w:pPr>
      <w:r>
        <w:rPr>
          <w:rFonts w:ascii="Arial" w:hAnsi="Arial" w:eastAsia="Arial"/>
          <w:lang w:val="sr-Cyrl-RS"/>
        </w:rPr>
        <w:t>Очување и заштита културног наслеђа.</w:t>
      </w:r>
    </w:p>
    <w:p>
      <w:pPr>
        <w:spacing w:line="39" w:lineRule="exact"/>
        <w:rPr>
          <w:rFonts w:ascii="Arial" w:hAnsi="Arial" w:eastAsia="Arial"/>
          <w:lang w:val="sr-Cyrl-RS"/>
        </w:rPr>
      </w:pPr>
    </w:p>
    <w:p>
      <w:pPr>
        <w:numPr>
          <w:ilvl w:val="0"/>
          <w:numId w:val="49"/>
        </w:numPr>
        <w:tabs>
          <w:tab w:val="left" w:pos="720"/>
        </w:tabs>
        <w:spacing w:line="0" w:lineRule="atLeast"/>
        <w:ind w:left="720" w:hanging="359"/>
        <w:rPr>
          <w:rFonts w:ascii="Arial" w:hAnsi="Arial" w:eastAsia="Arial"/>
          <w:lang w:val="sr-Cyrl-RS"/>
        </w:rPr>
      </w:pPr>
      <w:r>
        <w:rPr>
          <w:rFonts w:ascii="Arial" w:hAnsi="Arial" w:eastAsia="Arial"/>
          <w:lang w:val="sr-Cyrl-RS"/>
        </w:rPr>
        <w:t>Креирање туристичких пакета.</w:t>
      </w:r>
    </w:p>
    <w:p>
      <w:pPr>
        <w:spacing w:line="54" w:lineRule="exact"/>
        <w:rPr>
          <w:rFonts w:ascii="Arial" w:hAnsi="Arial" w:eastAsia="Arial"/>
          <w:lang w:val="sr-Cyrl-RS"/>
        </w:rPr>
      </w:pPr>
    </w:p>
    <w:p>
      <w:pPr>
        <w:numPr>
          <w:ilvl w:val="0"/>
          <w:numId w:val="49"/>
        </w:numPr>
        <w:tabs>
          <w:tab w:val="left" w:pos="720"/>
        </w:tabs>
        <w:spacing w:line="264" w:lineRule="auto"/>
        <w:ind w:left="720" w:right="20" w:hanging="359"/>
        <w:rPr>
          <w:rFonts w:ascii="Arial" w:hAnsi="Arial" w:eastAsia="Arial"/>
          <w:lang w:val="sr-Cyrl-RS"/>
        </w:rPr>
      </w:pPr>
      <w:r>
        <w:rPr>
          <w:rFonts w:ascii="Arial" w:hAnsi="Arial" w:eastAsia="Arial"/>
          <w:lang w:val="sr-Cyrl-RS"/>
        </w:rPr>
        <w:t>Увођење модерне технологије у интерпретацији културних садржаја унапређење интерпретације вођених тура (водичи, аниматори).</w:t>
      </w:r>
    </w:p>
    <w:p>
      <w:pPr>
        <w:spacing w:line="27" w:lineRule="exact"/>
        <w:rPr>
          <w:rFonts w:ascii="Arial" w:hAnsi="Arial" w:eastAsia="Arial"/>
          <w:lang w:val="sr-Cyrl-RS"/>
        </w:rPr>
      </w:pPr>
    </w:p>
    <w:p>
      <w:pPr>
        <w:numPr>
          <w:ilvl w:val="0"/>
          <w:numId w:val="49"/>
        </w:numPr>
        <w:tabs>
          <w:tab w:val="left" w:pos="720"/>
        </w:tabs>
        <w:spacing w:line="271" w:lineRule="auto"/>
        <w:ind w:left="720" w:right="20" w:hanging="359"/>
        <w:jc w:val="both"/>
        <w:rPr>
          <w:rFonts w:ascii="Arial" w:hAnsi="Arial" w:eastAsia="Arial"/>
          <w:lang w:val="sr-Cyrl-RS"/>
        </w:rPr>
      </w:pPr>
      <w:r>
        <w:rPr>
          <w:rFonts w:ascii="Arial" w:hAnsi="Arial" w:eastAsia="Arial"/>
          <w:lang w:val="sr-Cyrl-RS"/>
        </w:rPr>
        <w:t>Интензивнија промоција културне понуде, оживљавање легенди и осмишљавање прича о познатим личностима у сврху промоције дестинације и привлачења туриста.</w:t>
      </w:r>
    </w:p>
    <w:p>
      <w:pPr>
        <w:spacing w:line="5" w:lineRule="exact"/>
        <w:rPr>
          <w:rFonts w:ascii="Arial" w:hAnsi="Arial" w:eastAsia="Arial"/>
          <w:lang w:val="sr-Cyrl-RS"/>
        </w:rPr>
      </w:pPr>
    </w:p>
    <w:p>
      <w:pPr>
        <w:numPr>
          <w:ilvl w:val="0"/>
          <w:numId w:val="49"/>
        </w:numPr>
        <w:tabs>
          <w:tab w:val="left" w:pos="720"/>
        </w:tabs>
        <w:spacing w:line="0" w:lineRule="atLeast"/>
        <w:ind w:left="720" w:hanging="359"/>
        <w:rPr>
          <w:rFonts w:ascii="Arial" w:hAnsi="Arial" w:eastAsia="Arial"/>
          <w:lang w:val="sr-Cyrl-RS"/>
        </w:rPr>
      </w:pPr>
      <w:r>
        <w:rPr>
          <w:rFonts w:ascii="Arial" w:hAnsi="Arial" w:eastAsia="Arial"/>
          <w:lang w:val="sr-Cyrl-RS"/>
        </w:rPr>
        <w:t>Унапређење видљивости културног наслеђа (означавање).</w:t>
      </w:r>
    </w:p>
    <w:p>
      <w:pPr>
        <w:spacing w:line="54" w:lineRule="exact"/>
        <w:rPr>
          <w:rFonts w:ascii="Arial" w:hAnsi="Arial" w:eastAsia="Arial"/>
          <w:lang w:val="sr-Cyrl-RS"/>
        </w:rPr>
      </w:pPr>
    </w:p>
    <w:p>
      <w:pPr>
        <w:tabs>
          <w:tab w:val="left" w:pos="720"/>
        </w:tabs>
        <w:spacing w:line="271" w:lineRule="auto"/>
        <w:jc w:val="both"/>
        <w:rPr>
          <w:rFonts w:ascii="Arial" w:hAnsi="Arial" w:eastAsia="Arial"/>
          <w:lang w:val="sr-Cyrl-RS"/>
        </w:rPr>
      </w:pPr>
    </w:p>
    <w:p>
      <w:pPr>
        <w:tabs>
          <w:tab w:val="left" w:pos="720"/>
        </w:tabs>
        <w:spacing w:line="271" w:lineRule="auto"/>
        <w:jc w:val="both"/>
        <w:rPr>
          <w:rFonts w:ascii="Arial" w:hAnsi="Arial" w:eastAsia="Arial"/>
          <w:b/>
          <w:bCs/>
          <w:lang w:val="sr-Cyrl-RS"/>
        </w:rPr>
      </w:pPr>
      <w:r>
        <w:rPr>
          <w:rFonts w:ascii="Arial" w:hAnsi="Arial" w:eastAsia="Arial"/>
          <w:b/>
          <w:bCs/>
          <w:lang w:val="sr-Cyrl-RS"/>
        </w:rPr>
        <w:t>Манифестациони туризам</w:t>
      </w:r>
    </w:p>
    <w:p>
      <w:pPr>
        <w:tabs>
          <w:tab w:val="left" w:pos="720"/>
        </w:tabs>
        <w:spacing w:line="271" w:lineRule="auto"/>
        <w:jc w:val="both"/>
        <w:rPr>
          <w:rFonts w:ascii="Arial" w:hAnsi="Arial" w:eastAsia="Arial"/>
          <w:lang w:val="sr-Cyrl-RS"/>
        </w:rPr>
      </w:pPr>
    </w:p>
    <w:p>
      <w:pPr>
        <w:pStyle w:val="51"/>
        <w:numPr>
          <w:ilvl w:val="0"/>
          <w:numId w:val="50"/>
        </w:numPr>
        <w:tabs>
          <w:tab w:val="left" w:pos="720"/>
        </w:tabs>
        <w:spacing w:line="271" w:lineRule="auto"/>
        <w:jc w:val="both"/>
        <w:rPr>
          <w:rFonts w:ascii="Arial" w:hAnsi="Arial" w:eastAsia="Arial"/>
          <w:lang w:val="sr-Cyrl-RS"/>
        </w:rPr>
      </w:pPr>
      <w:r>
        <w:rPr>
          <w:rFonts w:ascii="Arial" w:hAnsi="Arial" w:eastAsia="Arial"/>
          <w:lang w:val="sr-Cyrl-RS"/>
        </w:rPr>
        <w:t>Подршка и едукација организаторима манифестација (ликовна колонија, уметничке радионице, тематске књижевне и музичке вечери и сл.). и другим пружаоца услуга у културном туризму.</w:t>
      </w:r>
    </w:p>
    <w:p>
      <w:pPr>
        <w:spacing w:line="15" w:lineRule="exact"/>
        <w:rPr>
          <w:rFonts w:ascii="Arial" w:hAnsi="Arial" w:eastAsia="Arial"/>
          <w:lang w:val="sr-Cyrl-RS"/>
        </w:rPr>
      </w:pPr>
    </w:p>
    <w:p>
      <w:pPr>
        <w:numPr>
          <w:ilvl w:val="0"/>
          <w:numId w:val="50"/>
        </w:numPr>
        <w:tabs>
          <w:tab w:val="left" w:pos="720"/>
        </w:tabs>
        <w:spacing w:line="268" w:lineRule="auto"/>
        <w:ind w:right="20"/>
        <w:rPr>
          <w:rFonts w:ascii="Arial" w:hAnsi="Arial" w:eastAsia="Arial"/>
          <w:lang w:val="sr-Cyrl-RS"/>
        </w:rPr>
      </w:pPr>
      <w:r>
        <w:rPr>
          <w:rFonts w:ascii="Arial" w:hAnsi="Arial" w:eastAsia="Arial"/>
          <w:lang w:val="sr-Cyrl-RS"/>
        </w:rPr>
        <w:t>Афирмација удружења и талентованих појединаца из области културе и њихово активно учешће у анимацији културног простора.</w:t>
      </w:r>
    </w:p>
    <w:p>
      <w:pPr>
        <w:spacing w:line="18" w:lineRule="exact"/>
        <w:rPr>
          <w:rFonts w:ascii="Arial" w:hAnsi="Arial" w:eastAsia="Arial"/>
          <w:lang w:val="sr-Cyrl-RS"/>
        </w:rPr>
      </w:pPr>
    </w:p>
    <w:p>
      <w:pPr>
        <w:numPr>
          <w:ilvl w:val="0"/>
          <w:numId w:val="50"/>
        </w:numPr>
        <w:tabs>
          <w:tab w:val="left" w:pos="720"/>
        </w:tabs>
        <w:spacing w:line="264" w:lineRule="auto"/>
        <w:ind w:right="20"/>
        <w:rPr>
          <w:rFonts w:ascii="Arial" w:hAnsi="Arial" w:eastAsia="Arial"/>
          <w:lang w:val="sr-Cyrl-RS"/>
        </w:rPr>
      </w:pPr>
      <w:r>
        <w:rPr>
          <w:rFonts w:ascii="Arial" w:hAnsi="Arial" w:eastAsia="Arial"/>
          <w:lang w:val="sr-Cyrl-RS"/>
        </w:rPr>
        <w:t>Интензивирање прекограничних пројеката из области културе у сврху креирања заједничких туристичких пакета.</w:t>
      </w:r>
    </w:p>
    <w:p>
      <w:pPr>
        <w:spacing w:line="200" w:lineRule="exact"/>
        <w:rPr>
          <w:lang w:val="sr-Cyrl-RS"/>
        </w:rPr>
      </w:pPr>
    </w:p>
    <w:p>
      <w:pPr>
        <w:spacing w:line="0" w:lineRule="atLeast"/>
        <w:rPr>
          <w:rFonts w:ascii="Arial" w:hAnsi="Arial" w:eastAsia="Arial"/>
          <w:b/>
          <w:lang w:val="sr-Cyrl-RS"/>
        </w:rPr>
      </w:pPr>
      <w:r>
        <w:rPr>
          <w:rFonts w:ascii="Arial" w:hAnsi="Arial" w:eastAsia="Arial"/>
          <w:b/>
          <w:lang w:val="sr-Cyrl-RS"/>
        </w:rPr>
        <w:t>Гастрономски туризам (као део руралног туризма или као засебан туристички производ):</w:t>
      </w:r>
    </w:p>
    <w:p>
      <w:pPr>
        <w:spacing w:line="290" w:lineRule="exact"/>
        <w:rPr>
          <w:lang w:val="sr-Cyrl-RS"/>
        </w:rPr>
      </w:pPr>
    </w:p>
    <w:p>
      <w:pPr>
        <w:numPr>
          <w:ilvl w:val="0"/>
          <w:numId w:val="51"/>
        </w:numPr>
        <w:tabs>
          <w:tab w:val="left" w:pos="720"/>
        </w:tabs>
        <w:spacing w:line="264" w:lineRule="auto"/>
        <w:ind w:left="720" w:hanging="719"/>
        <w:rPr>
          <w:rFonts w:ascii="Arial" w:hAnsi="Arial" w:eastAsia="Arial"/>
          <w:lang w:val="sr-Cyrl-RS"/>
        </w:rPr>
      </w:pPr>
      <w:r>
        <w:rPr>
          <w:rFonts w:ascii="Arial" w:hAnsi="Arial" w:eastAsia="Arial"/>
          <w:lang w:val="sr-Cyrl-RS"/>
        </w:rPr>
        <w:t>Подстицање отварања нових и уређивања постојећих угоститељских објеката</w:t>
      </w:r>
    </w:p>
    <w:p>
      <w:pPr>
        <w:spacing w:line="28" w:lineRule="exact"/>
        <w:rPr>
          <w:rFonts w:ascii="Arial" w:hAnsi="Arial" w:eastAsia="Arial"/>
          <w:lang w:val="sr-Cyrl-RS"/>
        </w:rPr>
      </w:pPr>
    </w:p>
    <w:p>
      <w:pPr>
        <w:numPr>
          <w:ilvl w:val="1"/>
          <w:numId w:val="51"/>
        </w:numPr>
        <w:tabs>
          <w:tab w:val="left" w:pos="720"/>
        </w:tabs>
        <w:spacing w:line="269" w:lineRule="auto"/>
        <w:ind w:left="720" w:right="20" w:hanging="359"/>
        <w:jc w:val="both"/>
        <w:rPr>
          <w:rFonts w:ascii="Arial" w:hAnsi="Arial" w:eastAsia="Arial"/>
          <w:lang w:val="sr-Cyrl-RS"/>
        </w:rPr>
      </w:pPr>
      <w:r>
        <w:rPr>
          <w:rFonts w:ascii="Arial" w:hAnsi="Arial" w:eastAsia="Arial"/>
          <w:lang w:val="sr-Cyrl-RS"/>
        </w:rPr>
        <w:t>Диверзификација и специјализација гастрономске понуде (означавање врсте ресторана, прилагођавање дела јеловника типичним производима краја)</w:t>
      </w:r>
    </w:p>
    <w:p>
      <w:pPr>
        <w:spacing w:line="22" w:lineRule="exact"/>
        <w:rPr>
          <w:rFonts w:ascii="Arial" w:hAnsi="Arial" w:eastAsia="Arial"/>
          <w:lang w:val="sr-Cyrl-RS"/>
        </w:rPr>
      </w:pPr>
    </w:p>
    <w:p>
      <w:pPr>
        <w:numPr>
          <w:ilvl w:val="1"/>
          <w:numId w:val="51"/>
        </w:numPr>
        <w:tabs>
          <w:tab w:val="left" w:pos="720"/>
        </w:tabs>
        <w:spacing w:line="265" w:lineRule="auto"/>
        <w:ind w:left="720" w:right="20" w:hanging="359"/>
        <w:rPr>
          <w:rFonts w:ascii="Arial" w:hAnsi="Arial" w:eastAsia="Arial"/>
          <w:lang w:val="sr-Cyrl-RS"/>
        </w:rPr>
        <w:sectPr>
          <w:type w:val="continuous"/>
          <w:pgSz w:w="11900" w:h="16840"/>
          <w:pgMar w:top="707" w:right="1425" w:bottom="551" w:left="1440" w:header="0" w:footer="0" w:gutter="0"/>
          <w:cols w:equalWidth="0" w:num="1">
            <w:col w:w="9040"/>
          </w:cols>
          <w:docGrid w:linePitch="360" w:charSpace="0"/>
        </w:sectPr>
      </w:pPr>
      <w:r>
        <w:rPr>
          <w:rFonts w:ascii="Arial" w:hAnsi="Arial" w:eastAsia="Arial"/>
          <w:lang w:val="sr-Cyrl-RS"/>
        </w:rPr>
        <w:t>Спровођење едукација о вредности типичних производа, важности паковања у стандардизацији и сертификацији производа</w:t>
      </w:r>
    </w:p>
    <w:p>
      <w:pPr>
        <w:spacing w:line="26" w:lineRule="exact"/>
        <w:rPr>
          <w:lang w:val="sr-Cyrl-RS"/>
        </w:rPr>
      </w:pPr>
    </w:p>
    <w:p>
      <w:pPr>
        <w:spacing w:line="0" w:lineRule="atLeast"/>
        <w:ind w:left="360"/>
        <w:rPr>
          <w:rFonts w:ascii="Arial" w:hAnsi="Arial" w:eastAsia="Arial"/>
          <w:sz w:val="22"/>
          <w:lang w:val="sr-Cyrl-RS"/>
        </w:rPr>
      </w:pPr>
      <w:r>
        <w:rPr>
          <w:rFonts w:ascii="Arial" w:hAnsi="Arial" w:eastAsia="Arial"/>
          <w:sz w:val="22"/>
          <w:lang w:val="sr-Cyrl-RS"/>
        </w:rPr>
        <w:t>•</w:t>
      </w:r>
    </w:p>
    <w:p>
      <w:pPr>
        <w:spacing w:line="26" w:lineRule="exact"/>
        <w:rPr>
          <w:lang w:val="sr-Cyrl-RS"/>
        </w:rPr>
      </w:pPr>
      <w:r>
        <w:rPr>
          <w:rFonts w:ascii="Arial" w:hAnsi="Arial" w:eastAsia="Arial"/>
          <w:sz w:val="22"/>
          <w:lang w:val="sr-Cyrl-RS"/>
        </w:rPr>
        <w:br w:type="column"/>
      </w:r>
    </w:p>
    <w:p>
      <w:pPr>
        <w:spacing w:line="264" w:lineRule="auto"/>
        <w:rPr>
          <w:rFonts w:ascii="Arial" w:hAnsi="Arial" w:eastAsia="Arial"/>
          <w:lang w:val="sr-Cyrl-RS"/>
        </w:rPr>
      </w:pPr>
      <w:r>
        <w:rPr>
          <w:rFonts w:ascii="Arial" w:hAnsi="Arial" w:eastAsia="Arial"/>
          <w:lang w:val="sr-Cyrl-RS"/>
        </w:rPr>
        <w:t>Спровођење едукација и контроле квалитета хране и пића (сок, вино, ракија и др.)</w:t>
      </w:r>
    </w:p>
    <w:p>
      <w:pPr>
        <w:spacing w:line="264" w:lineRule="auto"/>
        <w:rPr>
          <w:rFonts w:ascii="Arial" w:hAnsi="Arial" w:eastAsia="Arial"/>
          <w:lang w:val="sr-Cyrl-RS"/>
        </w:rPr>
        <w:sectPr>
          <w:type w:val="continuous"/>
          <w:pgSz w:w="11900" w:h="16840"/>
          <w:pgMar w:top="707" w:right="1425" w:bottom="551" w:left="1440" w:header="0" w:footer="0" w:gutter="0"/>
          <w:cols w:equalWidth="0" w:num="2">
            <w:col w:w="440" w:space="280"/>
            <w:col w:w="8320"/>
          </w:cols>
          <w:docGrid w:linePitch="360" w:charSpace="0"/>
        </w:sectPr>
      </w:pPr>
    </w:p>
    <w:p>
      <w:pPr>
        <w:spacing w:line="28" w:lineRule="exact"/>
        <w:rPr>
          <w:lang w:val="sr-Cyrl-RS"/>
        </w:rPr>
      </w:pPr>
    </w:p>
    <w:p>
      <w:pPr>
        <w:numPr>
          <w:ilvl w:val="1"/>
          <w:numId w:val="52"/>
        </w:numPr>
        <w:tabs>
          <w:tab w:val="left" w:pos="720"/>
        </w:tabs>
        <w:spacing w:line="264" w:lineRule="auto"/>
        <w:ind w:left="720" w:right="20" w:hanging="359"/>
        <w:rPr>
          <w:rFonts w:ascii="Arial" w:hAnsi="Arial" w:eastAsia="Arial"/>
          <w:lang w:val="sr-Cyrl-RS"/>
        </w:rPr>
      </w:pPr>
      <w:r>
        <w:rPr>
          <w:rFonts w:ascii="Arial" w:hAnsi="Arial" w:eastAsia="Arial"/>
          <w:lang w:val="sr-Cyrl-RS"/>
        </w:rPr>
        <w:t>Удруживање произвођача у циљу испоручивања довољне количине типичних производа приватном смештају, камповима и ресторанима</w:t>
      </w:r>
    </w:p>
    <w:p>
      <w:pPr>
        <w:spacing w:line="28" w:lineRule="exact"/>
        <w:rPr>
          <w:rFonts w:ascii="Arial" w:hAnsi="Arial" w:eastAsia="Arial"/>
          <w:lang w:val="sr-Cyrl-RS"/>
        </w:rPr>
      </w:pPr>
    </w:p>
    <w:p>
      <w:pPr>
        <w:numPr>
          <w:ilvl w:val="1"/>
          <w:numId w:val="52"/>
        </w:numPr>
        <w:tabs>
          <w:tab w:val="left" w:pos="720"/>
        </w:tabs>
        <w:spacing w:line="264" w:lineRule="auto"/>
        <w:ind w:left="720" w:right="20" w:hanging="359"/>
        <w:rPr>
          <w:rFonts w:ascii="Arial" w:hAnsi="Arial" w:eastAsia="Arial"/>
          <w:lang w:val="sr-Cyrl-RS"/>
        </w:rPr>
      </w:pPr>
      <w:r>
        <w:rPr>
          <w:rFonts w:ascii="Arial" w:hAnsi="Arial" w:eastAsia="Arial"/>
          <w:lang w:val="sr-Cyrl-RS"/>
        </w:rPr>
        <w:t>Изградња или адаптација просторија за пружање услуга продаје здраве хране и пића / гастрономске сувенирнице</w:t>
      </w:r>
    </w:p>
    <w:p>
      <w:pPr>
        <w:spacing w:line="17" w:lineRule="exact"/>
        <w:rPr>
          <w:rFonts w:ascii="Arial" w:hAnsi="Arial" w:eastAsia="Arial"/>
          <w:lang w:val="sr-Cyrl-RS"/>
        </w:rPr>
      </w:pPr>
    </w:p>
    <w:p>
      <w:pPr>
        <w:numPr>
          <w:ilvl w:val="0"/>
          <w:numId w:val="52"/>
        </w:numPr>
        <w:tabs>
          <w:tab w:val="left" w:pos="720"/>
        </w:tabs>
        <w:spacing w:line="0" w:lineRule="atLeast"/>
        <w:rPr>
          <w:rFonts w:ascii="Arial" w:hAnsi="Arial" w:eastAsia="Arial"/>
          <w:lang w:val="sr-Cyrl-RS"/>
        </w:rPr>
      </w:pPr>
      <w:r>
        <w:rPr>
          <w:rFonts w:ascii="Arial" w:hAnsi="Arial" w:eastAsia="Arial"/>
          <w:lang w:val="sr-Cyrl-RS"/>
        </w:rPr>
        <w:t>Подршка постојећим гастрономским манифестацијама</w:t>
      </w:r>
      <w:r>
        <w:rPr>
          <w:rFonts w:ascii="Arial" w:hAnsi="Arial" w:cs="Arial"/>
          <w:lang w:val="sr-Cyrl-RS"/>
        </w:rPr>
        <w:br w:type="page"/>
      </w:r>
    </w:p>
    <w:p>
      <w:pPr>
        <w:pStyle w:val="2"/>
        <w:rPr>
          <w:rFonts w:ascii="Arial" w:hAnsi="Arial" w:cs="Arial"/>
          <w:b/>
          <w:bCs w:val="0"/>
          <w:sz w:val="24"/>
          <w:szCs w:val="24"/>
          <w:lang w:val="sr-Cyrl-RS"/>
        </w:rPr>
      </w:pPr>
      <w:bookmarkStart w:id="83" w:name="_Toc159226533"/>
      <w:r>
        <w:rPr>
          <w:rFonts w:ascii="Arial" w:hAnsi="Arial" w:cs="Arial"/>
          <w:b/>
          <w:bCs w:val="0"/>
          <w:sz w:val="24"/>
          <w:szCs w:val="24"/>
          <w:lang w:val="sr-Cyrl-RS"/>
        </w:rPr>
        <w:t>8.</w:t>
      </w:r>
      <w:r>
        <w:rPr>
          <w:rFonts w:ascii="Arial" w:hAnsi="Arial" w:cs="Arial"/>
          <w:b/>
          <w:bCs w:val="0"/>
          <w:sz w:val="24"/>
          <w:szCs w:val="24"/>
          <w:lang w:val="sr-Cyrl-RS"/>
        </w:rPr>
        <w:tab/>
      </w:r>
      <w:r>
        <w:rPr>
          <w:rFonts w:ascii="Arial" w:hAnsi="Arial" w:cs="Arial"/>
          <w:b/>
          <w:bCs w:val="0"/>
          <w:sz w:val="24"/>
          <w:szCs w:val="24"/>
          <w:lang w:val="sr-Cyrl-RS"/>
        </w:rPr>
        <w:t xml:space="preserve"> АНАЛИЗА КЉУЧНИХ ТУРИСТИЧКИХ ТРЖИШТА ОД ЗНАЧАЈА ЗА РАЗВОЈ ТУРИЗМА И МАРКЕТИНГ АКТИВНОСТИ ОПШТИНЕ ГАЏИН ХАН</w:t>
      </w:r>
      <w:bookmarkEnd w:id="83"/>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Домаће тржиште, заинтересовано за туристичке атракције Србије, лоцирано је у великим градовима, првенствено у Београду који је главно тржиште и за Гаџин Хан, затим Новом Саду, </w:t>
      </w:r>
      <w:r>
        <w:rPr>
          <w:rFonts w:ascii="Arial" w:hAnsi="Arial" w:cs="Arial"/>
          <w:b/>
          <w:bCs/>
          <w:color w:val="000000" w:themeColor="text1"/>
          <w:lang w:val="sr-Cyrl-RS"/>
          <w14:textFill>
            <w14:solidFill>
              <w14:schemeClr w14:val="tx1"/>
            </w14:solidFill>
          </w14:textFill>
        </w:rPr>
        <w:t>Нишу</w:t>
      </w:r>
      <w:r>
        <w:rPr>
          <w:rFonts w:ascii="Arial" w:hAnsi="Arial" w:cs="Arial"/>
          <w:color w:val="000000" w:themeColor="text1"/>
          <w:lang w:val="sr-Cyrl-RS"/>
          <w14:textFill>
            <w14:solidFill>
              <w14:schemeClr w14:val="tx1"/>
            </w14:solidFill>
          </w14:textFill>
        </w:rPr>
        <w:t xml:space="preserve">, Крагујевцу, Суботици, Чачку итд. </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У наставку документа у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анализи </w:t>
      </w:r>
      <w:r>
        <w:rPr>
          <w:rFonts w:ascii="Arial" w:hAnsi="Arial" w:cs="Arial"/>
          <w:lang w:val="sr-Cyrl-RS"/>
        </w:rPr>
        <w:t xml:space="preserve"> обележја и перформансе туристичке тражње и понуде  </w:t>
      </w:r>
      <w:r>
        <w:rPr>
          <w:rFonts w:ascii="Arial" w:hAnsi="Arial" w:cs="Arial"/>
          <w:color w:val="000000" w:themeColor="text1"/>
          <w:lang w:val="sr-Cyrl-RS"/>
          <w14:textFill>
            <w14:solidFill>
              <w14:schemeClr w14:val="tx1"/>
            </w14:solidFill>
          </w14:textFill>
        </w:rPr>
        <w:t>види се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кроз статистичке податке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да је највећи број ноћења остварен из земаља из региона, као и оних земаља где грађанима нису потребне визе за улазак у Србију.</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Положај дестинације Гаџин Хан на кључном ауто-путу Коридору 10 који повезује Европу са Блиским Истоком олакшава долазак аутомобилом или аутобусом, а такође на мање од 30km налази се међународни аеродром. </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Стратешка туристичка тржишта за туристичку привреду Републике Србије по Стратегији развоја туризма РС су:</w:t>
      </w:r>
      <w:r>
        <w:rPr>
          <w:rStyle w:val="13"/>
          <w:rFonts w:ascii="Arial" w:hAnsi="Arial" w:cs="Arial"/>
          <w:color w:val="000000" w:themeColor="text1"/>
          <w:lang w:val="sr-Cyrl-RS"/>
          <w14:textFill>
            <w14:solidFill>
              <w14:schemeClr w14:val="tx1"/>
            </w14:solidFill>
          </w14:textFill>
        </w:rPr>
        <w:footnoteReference w:id="1"/>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1 ) домаће тржиште</w:t>
      </w: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2 ) земље бивше Југославије и регије са којима се Република Србија граничи;</w:t>
      </w: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3 ) ЕУ 28;</w:t>
      </w: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4 ) тржишта земаља ван ЕУ – Турска, Кина и Русија;</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По приоритетима и могућностима брзе валоризације у виду туристичких посета, приоритетна тржишта за област Гаџиног Хана су:</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1 ) Домаће тржиште: </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Београд, Ниш, Нови Сад, Крагујевац, Ћуприја, Параћин, Пожаревац и др.</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Дестинације које генеришу већи број домаћих туриста и погодне су за организацију излета.</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2 ) Земље бивше Југославије и државе са којима се Република Србија/Источна и Јужна Србија граничи:</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Словенија, БИХ, Црна Гора, Северна Македонија и Хрватска</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Посебно; </w:t>
      </w:r>
      <w:r>
        <w:rPr>
          <w:rFonts w:ascii="Arial" w:hAnsi="Arial" w:cs="Arial"/>
          <w:b/>
          <w:bCs/>
          <w:color w:val="000000" w:themeColor="text1"/>
          <w:lang w:val="sr-Cyrl-RS"/>
          <w14:textFill>
            <w14:solidFill>
              <w14:schemeClr w14:val="tx1"/>
            </w14:solidFill>
          </w14:textFill>
        </w:rPr>
        <w:t>Румунија и Бугарска</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3 ) ЕУ 28 у складу са посебним интересима и постојећим доласцима:</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Немачка, Аустрија, Италија (лов), Француска, Грчка, Шпанија, Скандинавске земље, Пољска итд.</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lang w:val="sr-Cyrl-RS"/>
        </w:rPr>
      </w:pPr>
      <w:r>
        <w:rPr>
          <w:rFonts w:ascii="Arial" w:hAnsi="Arial" w:cs="Arial"/>
          <w:color w:val="000000" w:themeColor="text1"/>
          <w:lang w:val="sr-Cyrl-RS"/>
          <w14:textFill>
            <w14:solidFill>
              <w14:schemeClr w14:val="tx1"/>
            </w14:solidFill>
          </w14:textFill>
        </w:rPr>
        <w:t xml:space="preserve">4 ) </w:t>
      </w:r>
      <w:r>
        <w:rPr>
          <w:rFonts w:ascii="Arial" w:hAnsi="Arial" w:cs="Arial"/>
          <w:lang w:val="sr-Cyrl-RS"/>
        </w:rPr>
        <w:t xml:space="preserve">Од земаља које емитују већи број кампинг гостију и налазе се на коридору 10 су:  </w:t>
      </w:r>
    </w:p>
    <w:p>
      <w:pPr>
        <w:jc w:val="both"/>
        <w:rPr>
          <w:rFonts w:ascii="Arial" w:hAnsi="Arial" w:cs="Arial"/>
          <w:lang w:val="sr-Cyrl-RS"/>
        </w:rPr>
      </w:pPr>
    </w:p>
    <w:p>
      <w:pPr>
        <w:jc w:val="both"/>
        <w:rPr>
          <w:rFonts w:ascii="Arial" w:hAnsi="Arial" w:cs="Arial"/>
          <w:b/>
          <w:bCs/>
          <w:lang w:val="sr-Cyrl-RS"/>
        </w:rPr>
      </w:pPr>
      <w:r>
        <w:rPr>
          <w:rFonts w:ascii="Arial" w:hAnsi="Arial" w:cs="Arial"/>
          <w:b/>
          <w:bCs/>
          <w:lang w:val="sr-Cyrl-RS"/>
        </w:rPr>
        <w:t>Пољска, Чешка, Холандија, Белгија, Немачка, Мађарска</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5 ) тржишта земаља ван ЕУ – пре свега </w:t>
      </w:r>
    </w:p>
    <w:p>
      <w:pPr>
        <w:jc w:val="both"/>
        <w:rPr>
          <w:rFonts w:ascii="Arial" w:hAnsi="Arial" w:cs="Arial"/>
          <w:color w:val="000000" w:themeColor="text1"/>
          <w:lang w:val="sr-Cyrl-RS"/>
          <w14:textFill>
            <w14:solidFill>
              <w14:schemeClr w14:val="tx1"/>
            </w14:solidFill>
          </w14:textFill>
        </w:rPr>
      </w:pPr>
    </w:p>
    <w:p>
      <w:pPr>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Турска, Русија, Израел, Велика Британија (посматрање птица)</w:t>
      </w:r>
    </w:p>
    <w:p>
      <w:pPr>
        <w:rPr>
          <w:rFonts w:ascii="Arial" w:hAnsi="Arial" w:cs="Arial"/>
          <w:color w:val="000000" w:themeColor="text1"/>
          <w:lang w:val="sr-Cyrl-RS"/>
          <w14:textFill>
            <w14:solidFill>
              <w14:schemeClr w14:val="tx1"/>
            </w14:solidFill>
          </w14:textFill>
        </w:rPr>
      </w:pPr>
    </w:p>
    <w:p>
      <w:pPr>
        <w:rPr>
          <w:rFonts w:ascii="Arial" w:hAnsi="Arial" w:cs="Arial"/>
          <w:color w:val="000000" w:themeColor="text1"/>
          <w:lang w:val="sr-Cyrl-RS"/>
          <w14:textFill>
            <w14:solidFill>
              <w14:schemeClr w14:val="tx1"/>
            </w14:solidFill>
          </w14:textFill>
        </w:rPr>
      </w:pPr>
    </w:p>
    <w:p>
      <w:pPr>
        <w:pStyle w:val="3"/>
      </w:pPr>
      <w:bookmarkStart w:id="84" w:name="_Toc159226534"/>
      <w:r>
        <w:t>8.1. Закључак анализе тржишта општине Гаџин Хан</w:t>
      </w:r>
      <w:bookmarkEnd w:id="84"/>
    </w:p>
    <w:p>
      <w:pPr>
        <w:pBdr>
          <w:top w:val="none" w:color="auto" w:sz="0" w:space="0"/>
          <w:left w:val="none" w:color="auto" w:sz="0" w:space="0"/>
          <w:bottom w:val="none" w:color="auto" w:sz="0" w:space="0"/>
          <w:right w:val="none" w:color="auto" w:sz="0" w:space="0"/>
          <w:between w:val="none" w:color="auto" w:sz="0" w:space="0"/>
        </w:pBdr>
        <w:spacing w:after="12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Претходним анализама и сагледавањем трендова у туризму на светском нивоу можемо да издвојимо следеће чињенице на основу којих у већој или мањој мери треба да прилагођавамо туристичку понуду, односно промоцију дестинације Гаџин Хан: </w:t>
      </w:r>
    </w:p>
    <w:p>
      <w:pPr>
        <w:pBdr>
          <w:top w:val="none" w:color="auto" w:sz="0" w:space="0"/>
          <w:left w:val="none" w:color="auto" w:sz="0" w:space="0"/>
          <w:bottom w:val="none" w:color="auto" w:sz="0" w:space="0"/>
          <w:right w:val="none" w:color="auto" w:sz="0" w:space="0"/>
          <w:between w:val="none" w:color="auto" w:sz="0" w:space="0"/>
        </w:pBdr>
        <w:spacing w:after="120" w:line="276" w:lineRule="auto"/>
        <w:jc w:val="both"/>
        <w:rPr>
          <w:rFonts w:ascii="Arial" w:hAnsi="Arial" w:cs="Arial"/>
          <w:color w:val="000000" w:themeColor="text1"/>
          <w:lang w:val="sr-Cyrl-RS"/>
          <w14:textFill>
            <w14:solidFill>
              <w14:schemeClr w14:val="tx1"/>
            </w14:solidFill>
          </w14:textFill>
        </w:rPr>
      </w:pP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Повећано је интересовање домаћих гостију за туристичким дестинацијама у Србији па тако и са понудом Гаџиног Хана;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Позитиван је тренд тражње за производима сеоског, планинског, као и туризма специјалних интереса (бициклизам, пешачење, гастрономија, вино и др.) на домаћем и глобалном нивоу;</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Евидентан је пад куповне моћи домаћих и страних туриста што може да услови смањење број укупних путовања током године, као и проведених дана на дестинацији. Међутим, потражња за краћим одмором, нижим ценама понуде, као и одмору у природи пружа повољну ситуацију управо за дестинацију као што је Гаџин Хан-Сува планина;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Безбедност и сигурност су један од примарних фактора за избор дестинације и смештајних објеката;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Тражња страних туриста, нарочито из окружења је делимично у порасту када су „оutdoor“ дестинације у питању где општина Гаџин Хан има изузетних природних амбијенталних целина;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Влада Републике Србије улаже много пажње и средстава за опоравак туристичке индустрије кроз бројне мере и субвенције (финансијска помоћ привредним субјектима, ваучери за путовање) које утичу на тражњу домаћег тржишта; Неопходно активирање дестинације у циљу повлачења мера;</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Цене смештаја на дестинацији Гаџин Хан- Сува планина, али и у окружењу (Ниш, Нишка бања, Лесковац) су веома ценовно конкуренте у односу на развијеније туристичке центре Србије. Потребно повећати број смештајних капацитета, како би се задовољила потражња и повећала дужина боравка туриста на дестинацији;</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160"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Унапређење активности везаних за развој инфраструктуре и промоције дестинације допринеће да број домаћих гостију расте, што ће ојачати туристичку привреду финансијски, али и професионално, стичући нова искуства и знања.</w:t>
      </w:r>
      <w:r>
        <w:rPr>
          <w:rFonts w:ascii="Arial" w:hAnsi="Arial" w:cs="Arial"/>
          <w:color w:val="000000" w:themeColor="text1"/>
          <w:lang w:val="sr-Cyrl-RS"/>
          <w14:textFill>
            <w14:solidFill>
              <w14:schemeClr w14:val="tx1"/>
            </w14:solidFill>
          </w14:textFill>
        </w:rPr>
        <w:br w:type="page"/>
      </w:r>
    </w:p>
    <w:p>
      <w:pPr>
        <w:pStyle w:val="2"/>
        <w:rPr>
          <w:rFonts w:ascii="Arial" w:hAnsi="Arial" w:cs="Arial" w:eastAsiaTheme="majorEastAsia"/>
          <w:b/>
          <w:bCs w:val="0"/>
          <w:color w:val="000000" w:themeColor="text1"/>
          <w:sz w:val="24"/>
          <w:szCs w:val="24"/>
          <w:lang w:val="sr-Cyrl-RS"/>
          <w14:textFill>
            <w14:solidFill>
              <w14:schemeClr w14:val="tx1"/>
            </w14:solidFill>
          </w14:textFill>
        </w:rPr>
      </w:pPr>
      <w:bookmarkStart w:id="85" w:name="_Toc159226535"/>
      <w:r>
        <w:rPr>
          <w:rFonts w:ascii="Arial" w:hAnsi="Arial" w:cs="Arial"/>
          <w:b/>
          <w:bCs w:val="0"/>
          <w:color w:val="000000" w:themeColor="text1"/>
          <w:sz w:val="24"/>
          <w:szCs w:val="24"/>
          <w:lang w:val="sr-Cyrl-RS"/>
          <w14:textFill>
            <w14:solidFill>
              <w14:schemeClr w14:val="tx1"/>
            </w14:solidFill>
          </w14:textFill>
        </w:rPr>
        <w:t>9.</w:t>
      </w:r>
      <w:r>
        <w:rPr>
          <w:rFonts w:ascii="Arial" w:hAnsi="Arial" w:cs="Arial"/>
          <w:b/>
          <w:bCs w:val="0"/>
          <w:color w:val="000000" w:themeColor="text1"/>
          <w:sz w:val="24"/>
          <w:szCs w:val="24"/>
          <w:lang w:val="sr-Cyrl-RS"/>
          <w14:textFill>
            <w14:solidFill>
              <w14:schemeClr w14:val="tx1"/>
            </w14:solidFill>
          </w14:textFill>
        </w:rPr>
        <w:tab/>
      </w:r>
      <w:r>
        <w:rPr>
          <w:rFonts w:ascii="Arial" w:hAnsi="Arial" w:cs="Arial"/>
          <w:b/>
          <w:bCs w:val="0"/>
          <w:color w:val="000000" w:themeColor="text1"/>
          <w:sz w:val="24"/>
          <w:szCs w:val="24"/>
          <w:lang w:val="sr-Cyrl-RS"/>
          <w14:textFill>
            <w14:solidFill>
              <w14:schemeClr w14:val="tx1"/>
            </w14:solidFill>
          </w14:textFill>
        </w:rPr>
        <w:t>РАЗВОЈНИ МОДЕЛ, ЦИЉЕВИ И ПРОЈЕКЦИЈЕ ОДРЖИВОГ РАЗВОЈА ТУРИЗМА ГАЏИНОГ ХАНА</w:t>
      </w:r>
      <w:bookmarkEnd w:id="85"/>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Модел раста туризма општине Гаџин Хан до 2027. године има за циљ да повеже визију и циљеве развоја туризма са свим релевантним елементима понуде и тражње. Модел раста туризма усклађен је са Стратегијом развоја туризма Србије до 2025. </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Основни принципи и смернице политике развоја одрживог туризма општине Гаџин Хан.</w:t>
      </w:r>
    </w:p>
    <w:p>
      <w:pPr>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Очување природне и културне баштине:</w:t>
      </w:r>
      <w:r>
        <w:rPr>
          <w:rFonts w:ascii="Arial" w:hAnsi="Arial" w:cs="Arial"/>
          <w:color w:val="000000" w:themeColor="text1"/>
          <w:lang w:val="sr-Cyrl-RS"/>
          <w14:textFill>
            <w14:solidFill>
              <w14:schemeClr w14:val="tx1"/>
            </w14:solidFill>
          </w14:textFill>
        </w:rPr>
        <w:t xml:space="preserve"> Политика одрживог туризма треба да промовише очување природних лепота, екосистема и културне баштине дестинације. То укључује мере за заштиту природних ресурса, очување историјских споменика и подршку традиционалним културним праксама. </w:t>
      </w:r>
    </w:p>
    <w:p>
      <w:pPr>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Друштвена одговорност</w:t>
      </w:r>
      <w:r>
        <w:rPr>
          <w:rFonts w:ascii="Arial" w:hAnsi="Arial" w:cs="Arial"/>
          <w:color w:val="000000" w:themeColor="text1"/>
          <w:lang w:val="sr-Cyrl-RS"/>
          <w14:textFill>
            <w14:solidFill>
              <w14:schemeClr w14:val="tx1"/>
            </w14:solidFill>
          </w14:textFill>
        </w:rPr>
        <w:t>: Одрживи туризам треба да буде друштвено одговоран. То значи да треба да доприноси локалној заједници, подржава локалне економске иницијативе и обезбеђује праведну расподелу користи од туризма. Такође треба да промовише инклузивност и поштовање људских права.</w:t>
      </w:r>
    </w:p>
    <w:p>
      <w:pPr>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Заштита природне средине:</w:t>
      </w:r>
      <w:r>
        <w:rPr>
          <w:rFonts w:ascii="Arial" w:hAnsi="Arial" w:cs="Arial"/>
          <w:color w:val="000000" w:themeColor="text1"/>
          <w:lang w:val="sr-Cyrl-RS"/>
          <w14:textFill>
            <w14:solidFill>
              <w14:schemeClr w14:val="tx1"/>
            </w14:solidFill>
          </w14:textFill>
        </w:rPr>
        <w:t xml:space="preserve"> Политика одрживог туризма треба да буде усмерена на заштиту природне средине. То укључује мере за смањење негативних утицаја туризма на екосистеме, као што су заштита биодиверзитета, смањење емисије штетних гасова и очување водних ресурса.</w:t>
      </w:r>
    </w:p>
    <w:p>
      <w:pPr>
        <w:pStyle w:val="51"/>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Економски просперитет:</w:t>
      </w:r>
      <w:r>
        <w:rPr>
          <w:rFonts w:ascii="Arial" w:hAnsi="Arial" w:cs="Arial"/>
          <w:color w:val="000000" w:themeColor="text1"/>
          <w:lang w:val="sr-Cyrl-RS"/>
          <w14:textFill>
            <w14:solidFill>
              <w14:schemeClr w14:val="tx1"/>
            </w14:solidFill>
          </w14:textFill>
        </w:rPr>
        <w:t xml:space="preserve"> Одрживи туризам треба да доприноси економском просперитету дестинације. То укључује подстицање локалних предузетника и малих бизниса, стварање радних места и подршку локалном економском развоју.</w:t>
      </w:r>
    </w:p>
    <w:p>
      <w:pPr>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Квалитет искуства:</w:t>
      </w:r>
      <w:r>
        <w:rPr>
          <w:rFonts w:ascii="Arial" w:hAnsi="Arial" w:cs="Arial"/>
          <w:color w:val="000000" w:themeColor="text1"/>
          <w:lang w:val="sr-Cyrl-RS"/>
          <w14:textFill>
            <w14:solidFill>
              <w14:schemeClr w14:val="tx1"/>
            </w14:solidFill>
          </w14:textFill>
        </w:rPr>
        <w:t xml:space="preserve"> Политика одрживог туризма треба да се фокусира на пружање високог квалитета искуства туристима. То подразумева очување аутентичности дестинације и промоцију одговорног туризма.</w:t>
      </w:r>
    </w:p>
    <w:p>
      <w:pPr>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eastAsiaTheme="minorHAnsi"/>
          <w:b/>
          <w:bCs/>
          <w:lang w:val="sr-Cyrl-RS" w:eastAsia="en-US"/>
          <w14:ligatures w14:val="standardContextual"/>
        </w:rPr>
        <w:t>Управљање дестинацијом:</w:t>
      </w:r>
      <w:r>
        <w:rPr>
          <w:rFonts w:ascii="Arial" w:hAnsi="Arial" w:cs="Arial" w:eastAsiaTheme="minorHAnsi"/>
          <w:lang w:val="sr-Cyrl-RS" w:eastAsia="en-US"/>
          <w14:ligatures w14:val="standardContextual"/>
        </w:rPr>
        <w:t xml:space="preserve"> Ефикасно управљање дестинацијом је од кључног значаја за одрживост туризма. Ово укључује планирање, мониторинг, и управљање туристичком потражњом и понашањем, као и контролу развоја и инфраструктуре.</w:t>
      </w:r>
    </w:p>
    <w:p>
      <w:pPr>
        <w:spacing w:line="276" w:lineRule="auto"/>
        <w:jc w:val="both"/>
        <w:rPr>
          <w:rFonts w:ascii="Arial" w:hAnsi="Arial" w:cs="Arial"/>
          <w:color w:val="000000" w:themeColor="text1"/>
          <w:lang w:val="sr-Cyrl-RS"/>
          <w14:textFill>
            <w14:solidFill>
              <w14:schemeClr w14:val="tx1"/>
            </w14:solidFill>
          </w14:textFill>
        </w:rPr>
      </w:pPr>
    </w:p>
    <w:p>
      <w:pPr>
        <w:pStyle w:val="51"/>
        <w:numPr>
          <w:ilvl w:val="0"/>
          <w:numId w:val="53"/>
        </w:num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eastAsiaTheme="minorHAnsi"/>
          <w:b/>
          <w:bCs/>
          <w:lang w:val="sr-Cyrl-RS" w:eastAsia="en-US"/>
          <w14:ligatures w14:val="standardContextual"/>
        </w:rPr>
        <w:t>Сарадња и партнерство</w:t>
      </w:r>
      <w:r>
        <w:rPr>
          <w:rFonts w:ascii="Arial" w:hAnsi="Arial" w:cs="Arial" w:eastAsiaTheme="minorHAnsi"/>
          <w:lang w:val="sr-Cyrl-RS" w:eastAsia="en-US"/>
          <w14:ligatures w14:val="standardContextual"/>
        </w:rPr>
        <w:t>: Сарадња између јавног и приватног сектора, како и сарадња на међународном нивоу, може значајно допринети одрживом развоју туризма.</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 периоду од 2023. до 2027. планирани су следећи циљеви и активности на њиховој реализацији. Највећи део ових циљева реализоваће општина Гаџин Хан са свим својим радним телима и службама. Када говоримо о конкретним активностима одрживог развоја туризма Туристичка организација Гаџин Хан преузимаће одговорности за реализацију и спровођене активности, посебно у смислу комуникације са туристичком привредом и невладиним организацијама и удружењима.</w:t>
      </w:r>
    </w:p>
    <w:p>
      <w:pPr>
        <w:spacing w:line="276" w:lineRule="auto"/>
        <w:jc w:val="both"/>
        <w:rPr>
          <w:rFonts w:ascii="Arial" w:hAnsi="Arial" w:cs="Arial"/>
          <w:color w:val="000000" w:themeColor="text1"/>
          <w:lang w:val="sr-Cyrl-RS"/>
          <w14:textFill>
            <w14:solidFill>
              <w14:schemeClr w14:val="tx1"/>
            </w14:solidFill>
          </w14:textFill>
        </w:rPr>
      </w:pPr>
    </w:p>
    <w:p>
      <w:pPr>
        <w:pStyle w:val="3"/>
      </w:pPr>
      <w:bookmarkStart w:id="86" w:name="_Toc159226536"/>
      <w:r>
        <w:t>9.1 Стратешка упоришта развоја туризма Гаџиног Хана</w:t>
      </w:r>
      <w:bookmarkEnd w:id="86"/>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Туризам није била делатност од стратешког значаја за ове крајеве. У посљедњим годинама долази до помака, како у стратешком опредељењу, тако и у подизању свести о његовом значају. Поред јасног стратешког опредељења и одабира туризма као једне од грана потенцијалног развоја подручја општине Гаџин Хан, додатни проблем је константан одлив броја становника који напуштају села и одлазе у велике градове или у земље Европске уније.</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Основни проблем је недостатак смештајних капацитета, као и недовољна повезаност атракција, те његово адекватно коришћење, односно пласирање на туристичко тржиште. </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Подручје Гаџиног Хана, односно Суве планине обилује изузетним природним и културним богатством, али је неопходно повећати број догађаја и унапредити квалитет постојећих садржаја за снажнији развој туристичких производа планински, кратких одмора, кружних тура, специјалних интереса и сеоског туризма. Поред тога, потребан је професионални маркетинг и комерцијализација како би се осетио економски ефекат од туризма.</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Може се закључити да за значајнији развој туризма има неопходних елемената, али да је неопходно јасно стратешко опредељење, спровођење мера и инвестиционих улагања, као и заједнички рад и едукација свих учесника у туристичкој понуди. Стратешка упоришта за реализацију ових активности су следећа:</w:t>
      </w:r>
    </w:p>
    <w:p>
      <w:pPr>
        <w:rPr>
          <w:rFonts w:ascii="Arial" w:hAnsi="Arial" w:cs="Arial"/>
          <w:lang w:val="sr-Cyrl-RS" w:eastAsia="en-US"/>
        </w:rPr>
      </w:pPr>
    </w:p>
    <w:p>
      <w:pPr>
        <w:rPr>
          <w:rFonts w:ascii="Arial" w:hAnsi="Arial" w:cs="Arial"/>
          <w:color w:val="000000" w:themeColor="text1"/>
          <w:lang w:val="sr-Cyrl-RS"/>
          <w14:textFill>
            <w14:solidFill>
              <w14:schemeClr w14:val="tx1"/>
            </w14:solidFill>
          </w14:textFill>
        </w:rPr>
      </w:pPr>
    </w:p>
    <w:p>
      <w:pPr>
        <w:pStyle w:val="51"/>
        <w:numPr>
          <w:ilvl w:val="0"/>
          <w:numId w:val="54"/>
        </w:num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Дестинација Гаџин Хан се налази на значајном саобраћаном коридору који повезује Западну Европу и Средњи исток што представља важан предуслов за развој туризма. </w:t>
      </w:r>
    </w:p>
    <w:p>
      <w:pPr>
        <w:jc w:val="both"/>
        <w:rPr>
          <w:rFonts w:ascii="Arial" w:hAnsi="Arial" w:cs="Arial"/>
          <w:color w:val="000000" w:themeColor="text1"/>
          <w:lang w:val="sr-Cyrl-RS"/>
          <w14:textFill>
            <w14:solidFill>
              <w14:schemeClr w14:val="tx1"/>
            </w14:solidFill>
          </w14:textFill>
        </w:rPr>
      </w:pPr>
    </w:p>
    <w:p>
      <w:pPr>
        <w:pStyle w:val="51"/>
        <w:numPr>
          <w:ilvl w:val="0"/>
          <w:numId w:val="54"/>
        </w:num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Стратешка документа општине Гаџин Хан као што су Стратегије развоја микро, малих и средњих предузећа и предузетништва у Општини Гаџин Хан за период 2020-2025., Стратегија за младе општине Гаџин Хан 2020-2025, Стратегија одрживог развоја општине Гаџин Хан 2012-2022, Стратегија развоја пољопривреде општине Гаџин Хан за период 2018-2023, Локални план управљања отпадом на територији општине Гаџин Хан и други дају стратешко упориште за развој туризма. </w:t>
      </w:r>
    </w:p>
    <w:p>
      <w:pPr>
        <w:jc w:val="both"/>
        <w:rPr>
          <w:rFonts w:ascii="Arial" w:hAnsi="Arial" w:cs="Arial"/>
          <w:color w:val="000000" w:themeColor="text1"/>
          <w:lang w:val="sr-Cyrl-RS"/>
          <w14:textFill>
            <w14:solidFill>
              <w14:schemeClr w14:val="tx1"/>
            </w14:solidFill>
          </w14:textFill>
        </w:rPr>
      </w:pPr>
    </w:p>
    <w:p>
      <w:pPr>
        <w:pStyle w:val="51"/>
        <w:numPr>
          <w:ilvl w:val="0"/>
          <w:numId w:val="54"/>
        </w:num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Близина Ниша као другог највећег града и административног центра Источне и Јужне Србије са међународним аеродромом повезаним са значајним стратешким тржиштима за Србију даје сигурност у попуњавању смештајних и угоститељских капацитета.</w:t>
      </w:r>
    </w:p>
    <w:p>
      <w:pPr>
        <w:jc w:val="both"/>
        <w:rPr>
          <w:rFonts w:ascii="Arial" w:hAnsi="Arial" w:cs="Arial"/>
          <w:color w:val="000000" w:themeColor="text1"/>
          <w:lang w:val="sr-Cyrl-RS"/>
          <w14:textFill>
            <w14:solidFill>
              <w14:schemeClr w14:val="tx1"/>
            </w14:solidFill>
          </w14:textFill>
        </w:rPr>
      </w:pPr>
    </w:p>
    <w:p>
      <w:pPr>
        <w:pStyle w:val="51"/>
        <w:numPr>
          <w:ilvl w:val="0"/>
          <w:numId w:val="54"/>
        </w:num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Главно и најважније упориште у развоју туризма Гаџиног Хана су природни ресурси и очувана и здрава природа која данас а и у будућности има највећи потенцијал и тражњу са домаћег и страног тржишта уз обавезу одговорног планирања и спровођења постулата одрживог развоја. </w:t>
      </w:r>
    </w:p>
    <w:p>
      <w:pPr>
        <w:jc w:val="both"/>
        <w:rPr>
          <w:rFonts w:ascii="Arial" w:hAnsi="Arial" w:cs="Arial"/>
          <w:color w:val="000000" w:themeColor="text1"/>
          <w:lang w:val="sr-Cyrl-RS"/>
          <w14:textFill>
            <w14:solidFill>
              <w14:schemeClr w14:val="tx1"/>
            </w14:solidFill>
          </w14:textFill>
        </w:rPr>
      </w:pPr>
    </w:p>
    <w:p>
      <w:pPr>
        <w:pStyle w:val="51"/>
        <w:numPr>
          <w:ilvl w:val="0"/>
          <w:numId w:val="54"/>
        </w:num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Гаџин Хан је једна од најсиромашнијих општина у Србији, али гостољубивост и духовитост локалног становништва не оцртавају такво стање. Велики ентузијазам и посвећеност нарочито Локалне самоуправе кроз стратешко размишљање и привлачење инвестиција представља упориште за развој туризма Гаџиног Хана. </w:t>
      </w:r>
    </w:p>
    <w:p>
      <w:pPr>
        <w:jc w:val="both"/>
        <w:rPr>
          <w:rFonts w:ascii="Arial" w:hAnsi="Arial" w:cs="Arial"/>
          <w:color w:val="000000" w:themeColor="text1"/>
          <w:lang w:val="sr-Cyrl-RS"/>
          <w14:textFill>
            <w14:solidFill>
              <w14:schemeClr w14:val="tx1"/>
            </w14:solidFill>
          </w14:textFill>
        </w:rPr>
      </w:pPr>
    </w:p>
    <w:p>
      <w:pPr>
        <w:pStyle w:val="51"/>
        <w:numPr>
          <w:ilvl w:val="0"/>
          <w:numId w:val="54"/>
        </w:num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Здрава, природна, укусна и аутентична храна и специјалитети који се праве од пољопривредних и сточних намирница такође</w:t>
      </w:r>
    </w:p>
    <w:p>
      <w:pPr>
        <w:rPr>
          <w:rFonts w:ascii="Arial" w:hAnsi="Arial" w:cs="Arial"/>
          <w:lang w:val="sr-Cyrl-RS"/>
        </w:rPr>
      </w:pPr>
    </w:p>
    <w:p>
      <w:pPr>
        <w:rPr>
          <w:rFonts w:ascii="Arial" w:hAnsi="Arial" w:cs="Arial"/>
          <w:lang w:val="sr-Cyrl-RS"/>
        </w:rPr>
      </w:pPr>
    </w:p>
    <w:p>
      <w:pPr>
        <w:pStyle w:val="3"/>
      </w:pPr>
      <w:bookmarkStart w:id="87" w:name="_Toc159226537"/>
      <w:r>
        <w:t>9.1.1 Визија</w:t>
      </w:r>
      <w:bookmarkEnd w:id="87"/>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Визија развоја дестинације Гаџин Хан-Сува планина-Заплање дефинисана је након спроведених упитника и разговора са свим представницима јавног, приватног и невладиног сектора.</w:t>
      </w:r>
      <w:r>
        <w:rPr>
          <w:rFonts w:ascii="Arial" w:hAnsi="Arial" w:cs="Arial"/>
          <w:color w:val="000000" w:themeColor="text1"/>
          <w:lang w:val="sr-Cyrl-RS"/>
          <w14:textFill>
            <w14:solidFill>
              <w14:schemeClr w14:val="tx1"/>
            </w14:solidFill>
          </w14:textFill>
        </w:rPr>
        <w:t xml:space="preserve"> Након спроведеног анкетирања туриста добијена је следећа слика перцепције туриста о дестинацији Сува планина- Гаџин Хан- Заплање.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eastAsia="en-US"/>
          <w14:textFill>
            <w14:solidFill>
              <w14:schemeClr w14:val="tx1"/>
            </w14:solidFill>
          </w14:textFill>
        </w:rPr>
        <w:drawing>
          <wp:inline distT="0" distB="0" distL="0" distR="0">
            <wp:extent cx="5731510" cy="3877310"/>
            <wp:effectExtent l="0" t="0" r="0" b="0"/>
            <wp:docPr id="7" name="Picture 7" descr="A silhouette of a person with a though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lhouette of a person with a thought bubble&#10;&#10;Description automatically generated"/>
                    <pic:cNvPicPr>
                      <a:picLocks noChangeAspect="1"/>
                    </pic:cNvPicPr>
                  </pic:nvPicPr>
                  <pic:blipFill>
                    <a:blip r:embed="rId31" cstate="email"/>
                    <a:stretch>
                      <a:fillRect/>
                    </a:stretch>
                  </pic:blipFill>
                  <pic:spPr>
                    <a:xfrm>
                      <a:off x="0" y="0"/>
                      <a:ext cx="5731510" cy="3877310"/>
                    </a:xfrm>
                    <a:prstGeom prst="rect">
                      <a:avLst/>
                    </a:prstGeom>
                  </pic:spPr>
                </pic:pic>
              </a:graphicData>
            </a:graphic>
          </wp:inline>
        </w:drawing>
      </w:r>
    </w:p>
    <w:p>
      <w:pPr>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br w:type="page"/>
      </w: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Визија</w:t>
      </w: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p>
    <w:p>
      <w:pPr>
        <w:spacing w:line="276" w:lineRule="auto"/>
        <w:jc w:val="center"/>
        <w:rPr>
          <w:rFonts w:ascii="Arial" w:hAnsi="Arial" w:cs="Arial" w:eastAsiaTheme="minorHAnsi"/>
          <w:b/>
          <w:bCs/>
          <w:i/>
          <w:iCs/>
          <w:color w:val="000000" w:themeColor="text1"/>
          <w:lang w:val="sr-Cyrl-RS" w:eastAsia="en-US"/>
          <w14:textFill>
            <w14:solidFill>
              <w14:schemeClr w14:val="tx1"/>
            </w14:solidFill>
          </w14:textFill>
        </w:rPr>
      </w:pPr>
      <w:r>
        <w:rPr>
          <w:rFonts w:ascii="Arial" w:hAnsi="Arial" w:cs="Arial"/>
          <w:b/>
          <w:bCs/>
          <w:i/>
          <w:iCs/>
          <w:color w:val="000000" w:themeColor="text1"/>
          <w:lang w:val="sr-Cyrl-RS" w:eastAsia="en-US"/>
          <w14:textFill>
            <w14:solidFill>
              <w14:schemeClr w14:val="tx1"/>
            </w14:solidFill>
          </w14:textFill>
        </w:rPr>
        <w:t xml:space="preserve">У наредних десет година Гаџин Хан ће се развити у једну од омиљених еко туристичких дестинација, очуваног природног богатства са атрактивним туристичким производима. </w:t>
      </w:r>
    </w:p>
    <w:p>
      <w:pPr>
        <w:spacing w:line="276" w:lineRule="auto"/>
        <w:jc w:val="center"/>
        <w:rPr>
          <w:rFonts w:ascii="Arial" w:hAnsi="Arial" w:cs="Arial"/>
          <w:b/>
          <w:bCs/>
          <w:i/>
          <w:iCs/>
          <w:color w:val="000000" w:themeColor="text1"/>
          <w:lang w:val="sr-Cyrl-RS" w:eastAsia="en-US"/>
          <w14:textFill>
            <w14:solidFill>
              <w14:schemeClr w14:val="tx1"/>
            </w14:solidFill>
          </w14:textFill>
        </w:rPr>
      </w:pPr>
    </w:p>
    <w:p>
      <w:pPr>
        <w:spacing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Гаџин Хан (Сува планина) је препознат као целовита и активна дестинација, која нуди свој планински начин живота и сеоско гостопримство и честитост, како би задовољила животне потребе својих становника и гостију.</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Садржаји и услуге које Гаџин Хан нуди биће прилагођени свим сегментима како би се створио туристички амбијент у којем се могу проводити најлепши дани живота и одмора.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Позиционирање</w:t>
      </w: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Гаџин Хан се у кратком року (до 5 година) позиционира као еко дестинација за домаће и прекограничне госте за продужене викенде и излетничке туре, док се на дуги рок позиционира као најбоља дестинација за активни одмор и посебне интересе током целе године за домаће и иностране госте.</w:t>
      </w:r>
    </w:p>
    <w:p>
      <w:pPr>
        <w:rPr>
          <w:rFonts w:ascii="Arial" w:hAnsi="Arial" w:cs="Arial"/>
          <w:color w:val="000000" w:themeColor="text1"/>
          <w:lang w:val="sr-Cyrl-RS" w:eastAsia="en-US"/>
          <w14:textFill>
            <w14:solidFill>
              <w14:schemeClr w14:val="tx1"/>
            </w14:solidFill>
          </w14:textFill>
        </w:rPr>
      </w:pPr>
    </w:p>
    <w:p>
      <w:pPr>
        <w:rPr>
          <w:rFonts w:ascii="Arial" w:hAnsi="Arial" w:cs="Arial"/>
          <w:color w:val="000000" w:themeColor="text1"/>
          <w:lang w:val="sr-Cyrl-RS" w:eastAsia="en-US"/>
          <w14:textFill>
            <w14:solidFill>
              <w14:schemeClr w14:val="tx1"/>
            </w14:solidFill>
          </w14:textFill>
        </w:rPr>
      </w:pPr>
    </w:p>
    <w:p>
      <w:pPr>
        <w:pStyle w:val="3"/>
      </w:pPr>
      <w:bookmarkStart w:id="88" w:name="_Toc159226538"/>
      <w:r>
        <w:t>9.1.2 Мисија програма развоја туризма</w:t>
      </w:r>
      <w:bookmarkEnd w:id="88"/>
    </w:p>
    <w:p>
      <w:pPr>
        <w:rPr>
          <w:rFonts w:ascii="Arial" w:hAnsi="Arial" w:cs="Arial"/>
          <w:lang w:val="sr-Cyrl-RS" w:eastAsia="en-US"/>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Туризам на подручју општине Гаџин Хан, иако препознат у досадашњим писаним стратегијама као приоритет, није се у значајној мери развио на посматраном подручју. Мисија Програма стратешког развоја туризма дестинације Гаџин Хан-Сува планина је дефинисање новог, прецизнијег и свеобухватнијег приступа анализи, оцењивању, планирању и реализацији стратешких циљева. </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Основна мисија програма је:</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Успостављање туристичке дестинације Гаџин Хан-Сува планина као препознатљиве дестинације туризма специјалних интересовања заснованих на природном наслеђу и културни туризам заснован на културном наслеђу који  пружају могућности становницима да остваре приходе од туризма и добију нови смисао за останак у сеоском подручју.</w:t>
      </w:r>
    </w:p>
    <w:p>
      <w:pPr>
        <w:pStyle w:val="67"/>
        <w:rPr>
          <w:rFonts w:ascii="Arial" w:hAnsi="Arial" w:cs="Arial"/>
          <w:lang w:val="sr-Cyrl-RS"/>
        </w:rPr>
      </w:pPr>
    </w:p>
    <w:p>
      <w:pPr>
        <w:pStyle w:val="67"/>
        <w:rPr>
          <w:rFonts w:ascii="Arial" w:hAnsi="Arial" w:cs="Arial"/>
          <w:lang w:val="sr-Cyrl-RS"/>
        </w:rPr>
      </w:pPr>
    </w:p>
    <w:p>
      <w:pPr>
        <w:pStyle w:val="3"/>
      </w:pPr>
      <w:bookmarkStart w:id="89" w:name="_Toc159226539"/>
      <w:r>
        <w:t>9.1.3 Стратешки циљеви</w:t>
      </w:r>
      <w:bookmarkEnd w:id="89"/>
    </w:p>
    <w:p>
      <w:pPr>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Анализом стања, а у циљу унапређења туризма, као и ефикаснијег управљања дестинацијом, постављени су стратешки и оперативни циљеви за период од пет година:</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br w:type="page"/>
      </w:r>
    </w:p>
    <w:p>
      <w:pPr>
        <w:jc w:val="both"/>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Стратешки циљеви:</w:t>
      </w:r>
    </w:p>
    <w:p>
      <w:pPr>
        <w:jc w:val="both"/>
        <w:rPr>
          <w:rFonts w:ascii="Arial" w:hAnsi="Arial" w:cs="Arial"/>
          <w:b/>
          <w:color w:val="000000" w:themeColor="text1"/>
          <w:lang w:val="sr-Cyrl-RS"/>
          <w14:textFill>
            <w14:solidFill>
              <w14:schemeClr w14:val="tx1"/>
            </w14:solidFill>
          </w14:textFill>
        </w:rPr>
      </w:pPr>
    </w:p>
    <w:p>
      <w:pPr>
        <w:autoSpaceDE w:val="0"/>
        <w:autoSpaceDN w:val="0"/>
        <w:adjustRightInd w:val="0"/>
        <w:spacing w:line="360" w:lineRule="auto"/>
        <w:jc w:val="both"/>
        <w:rPr>
          <w:rFonts w:ascii="Arial" w:hAnsi="Arial" w:cs="Arial"/>
          <w:color w:val="000000" w:themeColor="text1"/>
          <w:lang w:val="sr-Cyrl-RS"/>
          <w14:textFill>
            <w14:solidFill>
              <w14:schemeClr w14:val="tx1"/>
            </w14:solidFill>
          </w14:textFill>
        </w:rPr>
      </w:pPr>
      <w:bookmarkStart w:id="90" w:name="_Hlk111930896"/>
      <w:r>
        <w:rPr>
          <w:rFonts w:ascii="Arial" w:hAnsi="Arial" w:cs="Arial"/>
          <w:color w:val="000000" w:themeColor="text1"/>
          <w:lang w:val="sr-Cyrl-RS"/>
          <w14:textFill>
            <w14:solidFill>
              <w14:schemeClr w14:val="tx1"/>
            </w14:solidFill>
          </w14:textFill>
        </w:rPr>
        <w:t xml:space="preserve">1 . </w:t>
      </w:r>
      <w:r>
        <w:rPr>
          <w:rFonts w:ascii="Arial" w:hAnsi="Arial" w:cs="Arial"/>
          <w:b/>
          <w:bCs/>
          <w:color w:val="000000" w:themeColor="text1"/>
          <w:lang w:val="sr-Cyrl-RS"/>
          <w14:textFill>
            <w14:solidFill>
              <w14:schemeClr w14:val="tx1"/>
            </w14:solidFill>
          </w14:textFill>
        </w:rPr>
        <w:t>Креирања имиџа туристичке дестинације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Гаџин Хан-Сува планина- Заплање на циљним тржиштима као туристичке дестинације кратких одмора, брдско-планинског туризма, са нагласком на туризам специјалних интереса.</w:t>
      </w:r>
    </w:p>
    <w:p>
      <w:pPr>
        <w:autoSpaceDE w:val="0"/>
        <w:autoSpaceDN w:val="0"/>
        <w:adjustRightInd w:val="0"/>
        <w:spacing w:line="360"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2 . </w:t>
      </w:r>
      <w:r>
        <w:rPr>
          <w:rFonts w:ascii="Arial" w:hAnsi="Arial" w:cs="Arial"/>
          <w:b/>
          <w:bCs/>
          <w:color w:val="000000" w:themeColor="text1"/>
          <w:lang w:val="sr-Cyrl-RS"/>
          <w14:textFill>
            <w14:solidFill>
              <w14:schemeClr w14:val="tx1"/>
            </w14:solidFill>
          </w14:textFill>
        </w:rPr>
        <w:t>Унапређење инфраструктуре и заштита животне средине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подстицањем нових инвестиција у туристичку инфраструктуру на подручју општине и инвестиција у уређење постојеће инфраструктуре.</w:t>
      </w:r>
    </w:p>
    <w:p>
      <w:pPr>
        <w:autoSpaceDE w:val="0"/>
        <w:autoSpaceDN w:val="0"/>
        <w:adjustRightInd w:val="0"/>
        <w:spacing w:line="360"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3 . </w:t>
      </w:r>
      <w:r>
        <w:rPr>
          <w:rFonts w:ascii="Arial" w:hAnsi="Arial" w:cs="Arial"/>
          <w:b/>
          <w:bCs/>
          <w:color w:val="000000" w:themeColor="text1"/>
          <w:lang w:val="sr-Cyrl-RS"/>
          <w14:textFill>
            <w14:solidFill>
              <w14:schemeClr w14:val="tx1"/>
            </w14:solidFill>
          </w14:textFill>
        </w:rPr>
        <w:t>Повећање броја радних места и квалификација у туризму</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делатностима које су повезане са туризмом у оквиру постојећих капацитета.</w:t>
      </w:r>
    </w:p>
    <w:p>
      <w:pPr>
        <w:autoSpaceDE w:val="0"/>
        <w:autoSpaceDN w:val="0"/>
        <w:adjustRightInd w:val="0"/>
        <w:spacing w:line="360"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4 . </w:t>
      </w:r>
      <w:r>
        <w:rPr>
          <w:rFonts w:ascii="Arial" w:hAnsi="Arial" w:cs="Arial"/>
          <w:b/>
          <w:bCs/>
          <w:color w:val="000000" w:themeColor="text1"/>
          <w:lang w:val="sr-Cyrl-RS"/>
          <w14:textFill>
            <w14:solidFill>
              <w14:schemeClr w14:val="tx1"/>
            </w14:solidFill>
          </w14:textFill>
        </w:rPr>
        <w:t>Унапређење видљивости дестинације и повећање укупних прихода од туризма</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на дестинацији Гаџин Хан-Сува планина.</w:t>
      </w:r>
    </w:p>
    <w:bookmarkEnd w:id="90"/>
    <w:p>
      <w:pPr>
        <w:spacing w:line="276" w:lineRule="auto"/>
        <w:jc w:val="both"/>
        <w:rPr>
          <w:rFonts w:ascii="Arial" w:hAnsi="Arial" w:cs="Arial"/>
          <w:b/>
          <w:color w:val="000000" w:themeColor="text1"/>
          <w:lang w:val="sr-Cyrl-RS"/>
          <w14:textFill>
            <w14:solidFill>
              <w14:schemeClr w14:val="tx1"/>
            </w14:solidFill>
          </w14:textFill>
        </w:rPr>
      </w:pPr>
      <w:r>
        <w:rPr>
          <w:rFonts w:ascii="Arial" w:hAnsi="Arial" w:cs="Arial"/>
          <w:b/>
          <w:color w:val="000000" w:themeColor="text1"/>
          <w:lang w:val="sr-Cyrl-RS"/>
          <w14:textFill>
            <w14:solidFill>
              <w14:schemeClr w14:val="tx1"/>
            </w14:solidFill>
          </w14:textFill>
        </w:rPr>
        <w:t>Оперативни циљеви:</w:t>
      </w:r>
    </w:p>
    <w:p>
      <w:pPr>
        <w:spacing w:line="276" w:lineRule="auto"/>
        <w:jc w:val="both"/>
        <w:rPr>
          <w:rFonts w:ascii="Arial" w:hAnsi="Arial" w:cs="Arial"/>
          <w:b/>
          <w:color w:val="000000" w:themeColor="text1"/>
          <w:lang w:val="sr-Cyrl-RS"/>
          <w14:textFill>
            <w14:solidFill>
              <w14:schemeClr w14:val="tx1"/>
            </w14:solidFill>
          </w14:textFill>
        </w:rPr>
      </w:pPr>
    </w:p>
    <w:p>
      <w:pPr>
        <w:autoSpaceDE w:val="0"/>
        <w:autoSpaceDN w:val="0"/>
        <w:adjustRightInd w:val="0"/>
        <w:spacing w:line="360" w:lineRule="auto"/>
        <w:ind w:left="720" w:hanging="72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1 Унапредити понуду смештајних капацитета у сеоским туристичким домаћинствима на минимум 15 категорисаних домаћинстава до 2027.године</w:t>
      </w:r>
    </w:p>
    <w:p>
      <w:pPr>
        <w:autoSpaceDE w:val="0"/>
        <w:autoSpaceDN w:val="0"/>
        <w:adjustRightInd w:val="0"/>
        <w:spacing w:line="360" w:lineRule="auto"/>
        <w:ind w:left="720" w:hanging="72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2 . Повећање броја туриста специјалних интереса (кампинг, бициклизам, пешачење, планинарење, посматрање птица и друго) изградњом једног еко кампинг одморишта до 2027.године</w:t>
      </w:r>
    </w:p>
    <w:p>
      <w:pPr>
        <w:spacing w:line="360" w:lineRule="auto"/>
        <w:ind w:left="720" w:hanging="72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3 Унапредити капацитете туристичког производа специјални интереси изградњом најмање 1</w:t>
      </w:r>
      <w:r>
        <w:rPr>
          <w:rFonts w:ascii="Arial" w:hAnsi="Arial" w:cs="Arial"/>
          <w:color w:val="000000" w:themeColor="text1"/>
          <w:lang w:val="sr-Cyrl-RS"/>
          <w14:textFill>
            <w14:solidFill>
              <w14:schemeClr w14:val="tx1"/>
            </w14:solidFill>
          </w14:textFill>
        </w:rPr>
        <w:tab/>
      </w:r>
      <w:bookmarkStart w:id="91" w:name="_Hlk110599147"/>
      <w:r>
        <w:rPr>
          <w:rFonts w:ascii="Arial" w:hAnsi="Arial" w:cs="Arial"/>
          <w:color w:val="000000" w:themeColor="text1"/>
          <w:lang w:val="sr-Cyrl-RS"/>
          <w14:textFill>
            <w14:solidFill>
              <w14:schemeClr w14:val="tx1"/>
            </w14:solidFill>
          </w14:textFill>
        </w:rPr>
        <w:t>2</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км бициклистичких, пешачких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и</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планинарских стаза до 2027.године.</w:t>
      </w:r>
      <w:bookmarkEnd w:id="91"/>
    </w:p>
    <w:p>
      <w:pPr>
        <w:autoSpaceDE w:val="0"/>
        <w:autoSpaceDN w:val="0"/>
        <w:adjustRightInd w:val="0"/>
        <w:spacing w:line="360" w:lineRule="auto"/>
        <w:ind w:left="720" w:hanging="72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4 Унапређење инвестиција у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инфраструктуру</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супраструктуру</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у области сеоског, ловног </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и</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брдско-планинског туризма, као и туризма специјалних интереса изградњом нових објеката и адаптацијом постојећих.</w:t>
      </w:r>
    </w:p>
    <w:p>
      <w:pPr>
        <w:spacing w:line="360" w:lineRule="auto"/>
        <w:ind w:left="720" w:hanging="72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5 Унапредити менаџмент и промоцију туристичке дестинације, кроз успостављање туристичко-информативног центра у Доњем Душнику, као и креирање, унапређење и</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промоцију туристичких производа, спровођење едукација у туризму и унапређењу и спровођењу туристичких догађаја (манифестација, радионица, и др.) до 2026. Године</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Од великог значаја у остваривању циљева и спровођењу Програма развоја туризма је добра информисаност становништва о намерама развоја, као и њихова укљученост у оквиру појединачних програма извођења.</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p>
    <w:p>
      <w:pPr>
        <w:pStyle w:val="3"/>
      </w:pPr>
      <w:bookmarkStart w:id="92" w:name="_Toc159226540"/>
      <w:r>
        <w:t>9.2 Пројекције одрживог раста туризма oпштине Гаџин Хан</w:t>
      </w:r>
      <w:bookmarkEnd w:id="92"/>
    </w:p>
    <w:p>
      <w:pPr>
        <w:spacing w:line="302" w:lineRule="exact"/>
        <w:rPr>
          <w:rFonts w:ascii="Arial" w:hAnsi="Arial"/>
          <w:lang w:val="sr-Cyrl-RS"/>
        </w:rPr>
      </w:pPr>
    </w:p>
    <w:p>
      <w:pPr>
        <w:jc w:val="both"/>
        <w:rPr>
          <w:rStyle w:val="77"/>
          <w:rFonts w:ascii="Arial" w:hAnsi="Arial" w:cs="Arial"/>
          <w:lang w:val="sr-Latn-RS"/>
        </w:rPr>
      </w:pPr>
      <w:r>
        <w:rPr>
          <w:rStyle w:val="77"/>
          <w:rFonts w:ascii="Arial" w:hAnsi="Arial" w:cs="Arial"/>
          <w:lang w:val="sr-Latn-RS"/>
        </w:rPr>
        <w:t>Пројекције туристичких долазака и ноћења указују на постепен, али успоравајући тренд у стопама раста у наредних неколико година.</w:t>
      </w:r>
      <w:r>
        <w:rPr>
          <w:rStyle w:val="76"/>
          <w:rFonts w:ascii="Arial" w:hAnsi="Arial" w:cs="Arial"/>
          <w:lang w:val="sr-Latn-RS"/>
        </w:rPr>
        <w:t xml:space="preserve"> </w:t>
      </w:r>
      <w:r>
        <w:rPr>
          <w:rStyle w:val="77"/>
          <w:rFonts w:ascii="Arial" w:hAnsi="Arial" w:cs="Arial"/>
          <w:lang w:val="sr-Latn-RS"/>
        </w:rPr>
        <w:t>У 2023. години просечан годишњи проценат долазака је процењен на 0,009%, са одговарајућом цифром од 0,17% за ноћења.</w:t>
      </w:r>
      <w:r>
        <w:rPr>
          <w:rStyle w:val="76"/>
          <w:rFonts w:ascii="Arial" w:hAnsi="Arial" w:cs="Arial"/>
          <w:lang w:val="sr-Latn-RS"/>
        </w:rPr>
        <w:t xml:space="preserve"> </w:t>
      </w:r>
      <w:r>
        <w:rPr>
          <w:rStyle w:val="77"/>
          <w:rFonts w:ascii="Arial" w:hAnsi="Arial" w:cs="Arial"/>
          <w:lang w:val="sr-Latn-RS"/>
        </w:rPr>
        <w:t>Међутим, стопе раста се смањују током наредних година. У 2024. години просечан годишњи проценат долазака пада на 0,004%, праћен смањењем на 0,10% за ноћења.</w:t>
      </w:r>
      <w:r>
        <w:rPr>
          <w:rStyle w:val="76"/>
          <w:rFonts w:ascii="Arial" w:hAnsi="Arial" w:cs="Arial"/>
          <w:lang w:val="sr-Latn-RS"/>
        </w:rPr>
        <w:t xml:space="preserve"> </w:t>
      </w:r>
      <w:r>
        <w:rPr>
          <w:rStyle w:val="77"/>
          <w:rFonts w:ascii="Arial" w:hAnsi="Arial" w:cs="Arial"/>
          <w:lang w:val="sr-Latn-RS"/>
        </w:rPr>
        <w:t>Ово указује на успоравање темпа туристичке експанзије у односу на претходну годину.</w:t>
      </w:r>
      <w:r>
        <w:rPr>
          <w:rStyle w:val="76"/>
          <w:rFonts w:ascii="Arial" w:hAnsi="Arial" w:cs="Arial"/>
          <w:lang w:val="sr-Latn-RS"/>
        </w:rPr>
        <w:t xml:space="preserve"> </w:t>
      </w:r>
      <w:r>
        <w:rPr>
          <w:rStyle w:val="77"/>
          <w:rFonts w:ascii="Arial" w:hAnsi="Arial" w:cs="Arial"/>
          <w:lang w:val="sr-Latn-RS"/>
        </w:rPr>
        <w:t>Тренд се наставља са још пригушенијим пројекцијама раста за 2025. и 2026. са просечним годишњим процентима долазака од 0,001% и ноћења од 0,06% и 0,03%, респективно. До 2027. године стопе раста се приближавају стабилизацији, са просечним годишњим процентом долазака од 0,0002% и ноћења од 0,02%.</w:t>
      </w:r>
      <w:r>
        <w:rPr>
          <w:rStyle w:val="76"/>
          <w:rFonts w:ascii="Arial" w:hAnsi="Arial" w:cs="Arial"/>
          <w:lang w:val="sr-Latn-RS"/>
        </w:rPr>
        <w:t xml:space="preserve"> </w:t>
      </w:r>
      <w:r>
        <w:rPr>
          <w:rStyle w:val="77"/>
          <w:rFonts w:ascii="Arial" w:hAnsi="Arial" w:cs="Arial"/>
          <w:lang w:val="sr-Latn-RS"/>
        </w:rPr>
        <w:t xml:space="preserve">Ово сугерише да се туристичка индустрија приближава тачки стабилизације, што имплицира да би тржиште могло достићи свој праг засићења или да се сусреће са спољним ограничењима која </w:t>
      </w:r>
      <w:r>
        <w:rPr>
          <w:rStyle w:val="77"/>
          <w:rFonts w:ascii="Arial" w:hAnsi="Arial" w:cs="Arial"/>
          <w:lang w:val="sr-Cyrl-RS"/>
        </w:rPr>
        <w:t>утичу на</w:t>
      </w:r>
      <w:r>
        <w:rPr>
          <w:rStyle w:val="77"/>
          <w:rFonts w:ascii="Arial" w:hAnsi="Arial" w:cs="Arial"/>
          <w:lang w:val="sr-Latn-RS"/>
        </w:rPr>
        <w:t xml:space="preserve"> даљу експанзију.</w:t>
      </w:r>
    </w:p>
    <w:p>
      <w:pPr>
        <w:jc w:val="both"/>
        <w:rPr>
          <w:rFonts w:ascii="Arial" w:hAnsi="Arial" w:cs="Arial"/>
          <w:lang w:val="ru-RU"/>
        </w:rPr>
      </w:pPr>
    </w:p>
    <w:p>
      <w:pPr>
        <w:jc w:val="both"/>
        <w:rPr>
          <w:rFonts w:ascii="Arial" w:hAnsi="Arial" w:cs="Arial"/>
          <w:lang w:val="sr-Cyrl-RS"/>
        </w:rPr>
      </w:pPr>
      <w:r>
        <w:rPr>
          <w:rFonts w:ascii="Arial" w:hAnsi="Arial" w:cs="Arial"/>
          <w:lang w:val="ru-RU"/>
        </w:rPr>
        <w:t xml:space="preserve">Кључ за </w:t>
      </w:r>
      <w:r>
        <w:rPr>
          <w:rFonts w:ascii="Arial" w:hAnsi="Arial" w:cs="Arial"/>
          <w:lang w:val="sr-Cyrl-RS"/>
        </w:rPr>
        <w:t>постизање</w:t>
      </w:r>
      <w:r>
        <w:rPr>
          <w:rFonts w:ascii="Arial" w:hAnsi="Arial" w:cs="Arial"/>
          <w:lang w:val="ru-RU"/>
        </w:rPr>
        <w:t xml:space="preserve"> </w:t>
      </w:r>
      <w:r>
        <w:rPr>
          <w:rFonts w:ascii="Arial" w:hAnsi="Arial" w:cs="Arial"/>
          <w:lang w:val="sr-Cyrl-RS"/>
        </w:rPr>
        <w:t>раста туристичког промета</w:t>
      </w:r>
      <w:r>
        <w:rPr>
          <w:rFonts w:ascii="Arial" w:hAnsi="Arial" w:cs="Arial"/>
          <w:lang w:val="ru-RU"/>
        </w:rPr>
        <w:t xml:space="preserve"> лежи у стратешком планирању, развоју инфраструктуре и маркетиншким напорима.</w:t>
      </w:r>
      <w:r>
        <w:rPr>
          <w:rFonts w:ascii="Arial" w:hAnsi="Arial" w:cs="Arial"/>
          <w:lang w:val="sr-Cyrl-RS"/>
        </w:rPr>
        <w:t xml:space="preserve"> </w:t>
      </w:r>
      <w:r>
        <w:rPr>
          <w:rStyle w:val="77"/>
          <w:rFonts w:ascii="Arial" w:hAnsi="Arial" w:cs="Arial"/>
          <w:lang w:val="sr-Latn-RS"/>
        </w:rPr>
        <w:t>За заинтересоване стране у туристичкој индустрији, ове пројекције сигнализирају потребу за стратешким планирањем и прилагођавањем.</w:t>
      </w:r>
      <w:r>
        <w:rPr>
          <w:rStyle w:val="76"/>
          <w:rFonts w:ascii="Arial" w:hAnsi="Arial" w:cs="Arial"/>
          <w:lang w:val="sr-Latn-RS"/>
        </w:rPr>
        <w:t xml:space="preserve"> </w:t>
      </w:r>
      <w:r>
        <w:rPr>
          <w:rStyle w:val="77"/>
          <w:rFonts w:ascii="Arial" w:hAnsi="Arial" w:cs="Arial"/>
          <w:lang w:val="sr-Latn-RS"/>
        </w:rPr>
        <w:t xml:space="preserve">Диверзификација понуде, циљане маркетиншке кампање, улагање у инфраструктуру и побољшање доживљаја </w:t>
      </w:r>
      <w:r>
        <w:rPr>
          <w:rStyle w:val="77"/>
          <w:rFonts w:ascii="Arial" w:hAnsi="Arial" w:cs="Arial"/>
          <w:lang w:val="sr-Cyrl-RS"/>
        </w:rPr>
        <w:t>туриста</w:t>
      </w:r>
      <w:r>
        <w:rPr>
          <w:rStyle w:val="77"/>
          <w:rFonts w:ascii="Arial" w:hAnsi="Arial" w:cs="Arial"/>
          <w:lang w:val="sr-Latn-RS"/>
        </w:rPr>
        <w:t xml:space="preserve"> могу бити неопходни да би се одржала конкурентност и одржао раст, иако споријим темпом.</w:t>
      </w:r>
    </w:p>
    <w:p>
      <w:pPr>
        <w:jc w:val="both"/>
        <w:rPr>
          <w:rFonts w:ascii="Arial" w:hAnsi="Arial" w:cs="Arial"/>
          <w:lang w:val="ru-RU"/>
        </w:rPr>
      </w:pP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9. Просечна стопа раста долазака и ноћења на општини Гаџин Хан</w:t>
      </w:r>
    </w:p>
    <w:tbl>
      <w:tblPr>
        <w:tblStyle w:val="75"/>
        <w:tblW w:w="9128" w:type="dxa"/>
        <w:jc w:val="center"/>
        <w:tblLayout w:type="autofit"/>
        <w:tblCellMar>
          <w:top w:w="0" w:type="dxa"/>
          <w:left w:w="108" w:type="dxa"/>
          <w:bottom w:w="0" w:type="dxa"/>
          <w:right w:w="108" w:type="dxa"/>
        </w:tblCellMar>
      </w:tblPr>
      <w:tblGrid>
        <w:gridCol w:w="917"/>
        <w:gridCol w:w="4298"/>
        <w:gridCol w:w="918"/>
        <w:gridCol w:w="3123"/>
      </w:tblGrid>
      <w:tr>
        <w:tblPrEx>
          <w:tblCellMar>
            <w:top w:w="0" w:type="dxa"/>
            <w:left w:w="108" w:type="dxa"/>
            <w:bottom w:w="0" w:type="dxa"/>
            <w:right w:w="108" w:type="dxa"/>
          </w:tblCellMar>
        </w:tblPrEx>
        <w:trPr>
          <w:trHeight w:val="340" w:hRule="atLeast"/>
          <w:jc w:val="center"/>
        </w:trPr>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Година</w:t>
            </w:r>
          </w:p>
        </w:tc>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Просечна годишња стопа раста долазака</w:t>
            </w:r>
          </w:p>
        </w:tc>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Година</w:t>
            </w:r>
          </w:p>
        </w:tc>
        <w:tc>
          <w:tcPr>
            <w:tcW w:w="3721" w:type="dxa"/>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Просечна годишња стопа раста ноћења</w:t>
            </w:r>
          </w:p>
        </w:tc>
      </w:tr>
      <w:tr>
        <w:tblPrEx>
          <w:tblCellMar>
            <w:top w:w="0" w:type="dxa"/>
            <w:left w:w="108" w:type="dxa"/>
            <w:bottom w:w="0" w:type="dxa"/>
            <w:right w:w="108" w:type="dxa"/>
          </w:tblCellMar>
        </w:tblPrEx>
        <w:trPr>
          <w:trHeight w:val="340" w:hRule="atLeast"/>
          <w:jc w:val="center"/>
        </w:trPr>
        <w:tc>
          <w:tcPr>
            <w:tcW w:w="0" w:type="auto"/>
            <w:shd w:val="clear" w:color="auto" w:fill="F1F1F1" w:themeFill="background1" w:themeFillShade="F2"/>
            <w:noWrap/>
            <w:vAlign w:val="center"/>
          </w:tcPr>
          <w:p>
            <w:pPr>
              <w:jc w:val="center"/>
              <w:rPr>
                <w:rFonts w:ascii="Arial" w:hAnsi="Arial" w:cs="Arial"/>
                <w:b/>
                <w:bCs/>
                <w:color w:val="000000"/>
                <w:kern w:val="2"/>
                <w:lang w:val="sr-Latn-RS" w:eastAsia="en-US"/>
                <w14:ligatures w14:val="standardContextual"/>
              </w:rPr>
            </w:pPr>
            <w:r>
              <w:rPr>
                <w:rFonts w:ascii="Arial" w:hAnsi="Arial" w:cs="Arial"/>
                <w:b/>
                <w:bCs/>
                <w:color w:val="000000"/>
                <w:kern w:val="2"/>
                <w:lang w:val="sr-Latn-RS" w:eastAsia="en-US"/>
                <w14:ligatures w14:val="standardContextual"/>
              </w:rPr>
              <w:t>2023</w:t>
            </w:r>
          </w:p>
        </w:tc>
        <w:tc>
          <w:tcPr>
            <w:tcW w:w="0" w:type="auto"/>
            <w:shd w:val="clear" w:color="auto" w:fill="F1F1F1" w:themeFill="background1" w:themeFillShade="F2"/>
            <w:noWrap/>
            <w:vAlign w:val="center"/>
          </w:tcPr>
          <w:p>
            <w:pPr>
              <w:jc w:val="center"/>
              <w:rPr>
                <w:rFonts w:ascii="Arial" w:hAnsi="Arial" w:cs="Arial"/>
                <w:color w:val="000000"/>
                <w:kern w:val="2"/>
                <w:lang w:val="sr-Latn-RS" w:eastAsia="en-US"/>
                <w14:ligatures w14:val="standardContextual"/>
              </w:rPr>
            </w:pPr>
            <w:r>
              <w:rPr>
                <w:rFonts w:ascii="Arial" w:hAnsi="Arial" w:cs="Arial"/>
                <w:color w:val="000000"/>
                <w:kern w:val="2"/>
                <w:lang w:val="sr-Latn-RS" w:eastAsia="en-US"/>
                <w14:ligatures w14:val="standardContextual"/>
              </w:rPr>
              <w:t>0,009%</w:t>
            </w:r>
          </w:p>
        </w:tc>
        <w:tc>
          <w:tcPr>
            <w:tcW w:w="0" w:type="auto"/>
            <w:shd w:val="clear" w:color="auto" w:fill="F1F1F1" w:themeFill="background1" w:themeFillShade="F2"/>
            <w:noWrap/>
            <w:vAlign w:val="center"/>
          </w:tcPr>
          <w:p>
            <w:pPr>
              <w:jc w:val="center"/>
              <w:rPr>
                <w:rFonts w:ascii="Arial" w:hAnsi="Arial" w:cs="Arial"/>
                <w:b/>
                <w:bCs/>
                <w:color w:val="000000"/>
                <w:kern w:val="2"/>
                <w:lang w:val="sr-Latn-RS" w:eastAsia="en-US"/>
                <w14:ligatures w14:val="standardContextual"/>
              </w:rPr>
            </w:pPr>
            <w:r>
              <w:rPr>
                <w:rFonts w:ascii="Arial" w:hAnsi="Arial" w:cs="Arial"/>
                <w:b/>
                <w:bCs/>
                <w:color w:val="000000"/>
                <w:kern w:val="2"/>
                <w:lang w:val="sr-Latn-RS" w:eastAsia="en-US"/>
                <w14:ligatures w14:val="standardContextual"/>
              </w:rPr>
              <w:t>2023</w:t>
            </w:r>
          </w:p>
        </w:tc>
        <w:tc>
          <w:tcPr>
            <w:tcW w:w="3721" w:type="dxa"/>
            <w:shd w:val="clear" w:color="auto" w:fill="F1F1F1" w:themeFill="background1" w:themeFillShade="F2"/>
            <w:noWrap/>
            <w:vAlign w:val="center"/>
          </w:tcPr>
          <w:p>
            <w:pPr>
              <w:jc w:val="center"/>
              <w:rPr>
                <w:rFonts w:ascii="Arial" w:hAnsi="Arial" w:cs="Arial"/>
                <w:color w:val="000000"/>
                <w:kern w:val="2"/>
                <w:lang w:val="sr-Latn-RS" w:eastAsia="en-US"/>
                <w14:ligatures w14:val="standardContextual"/>
              </w:rPr>
            </w:pPr>
            <w:r>
              <w:rPr>
                <w:rFonts w:ascii="Arial" w:hAnsi="Arial" w:cs="Arial"/>
                <w:color w:val="000000"/>
                <w:kern w:val="2"/>
                <w:lang w:val="sr-Latn-RS" w:eastAsia="en-US"/>
                <w14:ligatures w14:val="standardContextual"/>
              </w:rPr>
              <w:t>0,17%</w:t>
            </w:r>
          </w:p>
        </w:tc>
      </w:tr>
      <w:tr>
        <w:tblPrEx>
          <w:tblCellMar>
            <w:top w:w="0" w:type="dxa"/>
            <w:left w:w="108" w:type="dxa"/>
            <w:bottom w:w="0" w:type="dxa"/>
            <w:right w:w="108" w:type="dxa"/>
          </w:tblCellMar>
        </w:tblPrEx>
        <w:trPr>
          <w:trHeight w:val="340" w:hRule="atLeast"/>
          <w:jc w:val="center"/>
        </w:trPr>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2024</w:t>
            </w:r>
          </w:p>
        </w:tc>
        <w:tc>
          <w:tcPr>
            <w:tcW w:w="0" w:type="auto"/>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0,004%</w:t>
            </w:r>
          </w:p>
        </w:tc>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2024</w:t>
            </w:r>
          </w:p>
        </w:tc>
        <w:tc>
          <w:tcPr>
            <w:tcW w:w="3721" w:type="dxa"/>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0,10%</w:t>
            </w:r>
          </w:p>
        </w:tc>
      </w:tr>
      <w:tr>
        <w:tblPrEx>
          <w:tblCellMar>
            <w:top w:w="0" w:type="dxa"/>
            <w:left w:w="108" w:type="dxa"/>
            <w:bottom w:w="0" w:type="dxa"/>
            <w:right w:w="108" w:type="dxa"/>
          </w:tblCellMar>
        </w:tblPrEx>
        <w:trPr>
          <w:trHeight w:val="340" w:hRule="atLeast"/>
          <w:jc w:val="center"/>
        </w:trPr>
        <w:tc>
          <w:tcPr>
            <w:tcW w:w="0" w:type="auto"/>
            <w:shd w:val="clear" w:color="auto" w:fill="F1F1F1" w:themeFill="background1" w:themeFillShade="F2"/>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2025</w:t>
            </w:r>
          </w:p>
        </w:tc>
        <w:tc>
          <w:tcPr>
            <w:tcW w:w="0" w:type="auto"/>
            <w:shd w:val="clear" w:color="auto" w:fill="F1F1F1" w:themeFill="background1" w:themeFillShade="F2"/>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0,001%</w:t>
            </w:r>
          </w:p>
        </w:tc>
        <w:tc>
          <w:tcPr>
            <w:tcW w:w="0" w:type="auto"/>
            <w:shd w:val="clear" w:color="auto" w:fill="F1F1F1" w:themeFill="background1" w:themeFillShade="F2"/>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2025</w:t>
            </w:r>
          </w:p>
        </w:tc>
        <w:tc>
          <w:tcPr>
            <w:tcW w:w="3721" w:type="dxa"/>
            <w:shd w:val="clear" w:color="auto" w:fill="F1F1F1" w:themeFill="background1" w:themeFillShade="F2"/>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0,06%</w:t>
            </w:r>
          </w:p>
        </w:tc>
      </w:tr>
      <w:tr>
        <w:tblPrEx>
          <w:tblCellMar>
            <w:top w:w="0" w:type="dxa"/>
            <w:left w:w="108" w:type="dxa"/>
            <w:bottom w:w="0" w:type="dxa"/>
            <w:right w:w="108" w:type="dxa"/>
          </w:tblCellMar>
        </w:tblPrEx>
        <w:trPr>
          <w:trHeight w:val="340" w:hRule="atLeast"/>
          <w:jc w:val="center"/>
        </w:trPr>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2026</w:t>
            </w:r>
          </w:p>
        </w:tc>
        <w:tc>
          <w:tcPr>
            <w:tcW w:w="0" w:type="auto"/>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0,001%</w:t>
            </w:r>
          </w:p>
        </w:tc>
        <w:tc>
          <w:tcPr>
            <w:tcW w:w="0" w:type="auto"/>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2026</w:t>
            </w:r>
          </w:p>
        </w:tc>
        <w:tc>
          <w:tcPr>
            <w:tcW w:w="3721" w:type="dxa"/>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0,03%</w:t>
            </w:r>
          </w:p>
        </w:tc>
      </w:tr>
      <w:tr>
        <w:tblPrEx>
          <w:tblCellMar>
            <w:top w:w="0" w:type="dxa"/>
            <w:left w:w="108" w:type="dxa"/>
            <w:bottom w:w="0" w:type="dxa"/>
            <w:right w:w="108" w:type="dxa"/>
          </w:tblCellMar>
        </w:tblPrEx>
        <w:trPr>
          <w:trHeight w:val="340" w:hRule="atLeast"/>
          <w:jc w:val="center"/>
        </w:trPr>
        <w:tc>
          <w:tcPr>
            <w:tcW w:w="0" w:type="auto"/>
            <w:shd w:val="clear" w:color="auto" w:fill="F1F1F1" w:themeFill="background1" w:themeFillShade="F2"/>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2027</w:t>
            </w:r>
          </w:p>
        </w:tc>
        <w:tc>
          <w:tcPr>
            <w:tcW w:w="0" w:type="auto"/>
            <w:shd w:val="clear" w:color="auto" w:fill="F1F1F1" w:themeFill="background1" w:themeFillShade="F2"/>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0,0002%</w:t>
            </w:r>
          </w:p>
        </w:tc>
        <w:tc>
          <w:tcPr>
            <w:tcW w:w="0" w:type="auto"/>
            <w:shd w:val="clear" w:color="auto" w:fill="F1F1F1" w:themeFill="background1" w:themeFillShade="F2"/>
            <w:noWrap/>
            <w:vAlign w:val="center"/>
          </w:tcPr>
          <w:p>
            <w:pPr>
              <w:jc w:val="center"/>
              <w:rPr>
                <w:rFonts w:ascii="Arial" w:hAnsi="Arial" w:cs="Arial"/>
                <w:b/>
                <w:bCs/>
                <w:color w:val="000000"/>
                <w:kern w:val="2"/>
                <w:lang w:val="sr-Cyrl-RS" w:eastAsia="en-US"/>
                <w14:ligatures w14:val="standardContextual"/>
              </w:rPr>
            </w:pPr>
            <w:r>
              <w:rPr>
                <w:rFonts w:ascii="Arial" w:hAnsi="Arial" w:cs="Arial"/>
                <w:b/>
                <w:bCs/>
                <w:color w:val="000000"/>
                <w:kern w:val="2"/>
                <w:lang w:val="sr-Cyrl-RS" w:eastAsia="en-US"/>
                <w14:ligatures w14:val="standardContextual"/>
              </w:rPr>
              <w:t>2027</w:t>
            </w:r>
          </w:p>
        </w:tc>
        <w:tc>
          <w:tcPr>
            <w:tcW w:w="3721" w:type="dxa"/>
            <w:shd w:val="clear" w:color="auto" w:fill="F1F1F1" w:themeFill="background1" w:themeFillShade="F2"/>
            <w:noWrap/>
            <w:vAlign w:val="center"/>
          </w:tcPr>
          <w:p>
            <w:pPr>
              <w:jc w:val="center"/>
              <w:rPr>
                <w:rFonts w:ascii="Arial" w:hAnsi="Arial" w:cs="Arial"/>
                <w:color w:val="000000"/>
                <w:kern w:val="2"/>
                <w:lang w:val="sr-Cyrl-RS" w:eastAsia="en-US"/>
                <w14:ligatures w14:val="standardContextual"/>
              </w:rPr>
            </w:pPr>
            <w:r>
              <w:rPr>
                <w:rFonts w:ascii="Arial" w:hAnsi="Arial" w:cs="Arial"/>
                <w:color w:val="000000"/>
                <w:kern w:val="2"/>
                <w:lang w:val="sr-Cyrl-RS" w:eastAsia="en-US"/>
                <w14:ligatures w14:val="standardContextual"/>
              </w:rPr>
              <w:t>0,02%</w:t>
            </w:r>
          </w:p>
        </w:tc>
      </w:tr>
    </w:tbl>
    <w:p>
      <w:pPr>
        <w:jc w:val="both"/>
        <w:rPr>
          <w:rFonts w:ascii="Arial" w:hAnsi="Arial" w:cs="Arial"/>
          <w:lang w:val="sr-Latn-RS"/>
        </w:rPr>
      </w:pPr>
      <w:r>
        <w:rPr>
          <w:rFonts w:ascii="Arial" w:hAnsi="Arial" w:cs="Arial"/>
          <w:lang w:val="sr-Cyrl-RS"/>
        </w:rPr>
        <w:t>Извор:</w:t>
      </w:r>
      <w:r>
        <w:rPr>
          <w:rFonts w:ascii="Arial" w:hAnsi="Arial" w:cs="Arial"/>
          <w:lang w:val="sr-Latn-RS"/>
        </w:rPr>
        <w:t xml:space="preserve"> </w:t>
      </w:r>
      <w:r>
        <w:rPr>
          <w:rFonts w:ascii="Arial" w:hAnsi="Arial" w:cs="Arial"/>
          <w:lang w:val="sr-Cyrl-RS"/>
        </w:rPr>
        <w:t xml:space="preserve">Израда пројекције </w:t>
      </w:r>
      <w:r>
        <w:rPr>
          <w:rFonts w:ascii="Arial" w:hAnsi="Arial" w:cs="Arial"/>
          <w:lang w:val="sr-Latn-RS"/>
        </w:rPr>
        <w:t>„VTC“</w:t>
      </w:r>
    </w:p>
    <w:p>
      <w:pPr>
        <w:jc w:val="both"/>
        <w:rPr>
          <w:rFonts w:ascii="Arial" w:hAnsi="Arial" w:cs="Arial"/>
          <w:lang w:val="sr-Cyrl-RS"/>
        </w:rPr>
      </w:pPr>
    </w:p>
    <w:p>
      <w:pPr>
        <w:jc w:val="both"/>
        <w:rPr>
          <w:rFonts w:ascii="Arial" w:hAnsi="Arial" w:cs="Arial"/>
          <w:lang w:val="ru-RU"/>
        </w:rPr>
      </w:pPr>
      <w:r>
        <w:rPr>
          <w:rFonts w:ascii="Arial" w:hAnsi="Arial" w:cs="Arial"/>
          <w:lang w:val="ru-RU"/>
        </w:rPr>
        <w:t xml:space="preserve">Увођење нових категорисаних смештајних капацитета,  могло би да има значајан утицај на туристички промет. Ово би вероватно резултирало повећањем туристичке активности, пошто различите могућности смештаја задовољавају различите преференције и буџете. Може привући шири спектар туриста, како домаћих тако и потенцијално међународних, додатно подстичући локалну економију. Општина би могла имати користи од разноврснијег и конкурентнијег тржишта, нудећи квалитетније услуге и боље цене, што може довести до позитивније перцепције овог подручја као туристичке дестинације. </w:t>
      </w:r>
    </w:p>
    <w:p>
      <w:pPr>
        <w:jc w:val="both"/>
        <w:rPr>
          <w:rFonts w:ascii="Arial" w:hAnsi="Arial" w:cs="Arial"/>
          <w:lang w:val="ru-RU"/>
        </w:rPr>
      </w:pPr>
    </w:p>
    <w:p>
      <w:pPr>
        <w:jc w:val="both"/>
        <w:rPr>
          <w:rFonts w:ascii="Arial" w:hAnsi="Arial" w:cs="Arial"/>
          <w:lang w:val="ru-RU"/>
        </w:rPr>
      </w:pPr>
      <w:r>
        <w:rPr>
          <w:rFonts w:ascii="Arial" w:hAnsi="Arial" w:cs="Arial"/>
          <w:lang w:val="ru-RU"/>
        </w:rPr>
        <w:t xml:space="preserve">Увођење већег </w:t>
      </w:r>
      <w:r>
        <w:rPr>
          <w:rFonts w:ascii="Arial" w:hAnsi="Arial" w:cs="Arial"/>
          <w:lang w:val="sr-Cyrl-RS"/>
        </w:rPr>
        <w:t>броја</w:t>
      </w:r>
      <w:r>
        <w:rPr>
          <w:rFonts w:ascii="Arial" w:hAnsi="Arial" w:cs="Arial"/>
          <w:lang w:val="ru-RU"/>
        </w:rPr>
        <w:t xml:space="preserve"> категори</w:t>
      </w:r>
      <w:r>
        <w:rPr>
          <w:rFonts w:ascii="Arial" w:hAnsi="Arial" w:cs="Arial"/>
          <w:lang w:val="sr-Cyrl-RS"/>
        </w:rPr>
        <w:t>зованих</w:t>
      </w:r>
      <w:r>
        <w:rPr>
          <w:rFonts w:ascii="Arial" w:hAnsi="Arial" w:cs="Arial"/>
          <w:lang w:val="ru-RU"/>
        </w:rPr>
        <w:t xml:space="preserve"> смештајних капацитета послужило би за ублажавање распрострањености сиве економије у сектору туризма, чиме би се остварили већи приходи за локални буџет. Овај додатни приход се затим може усмерити на унапређење инфраструктуре и обогаћивање туристичке понуде у оквиру општине. Формализацијом и проширењем могућности смештаја, локална привреда ће имати користи од побољшане регулативе и опорезивања, подстичући одрживије и просперитетније туристичко окружење.</w:t>
      </w:r>
    </w:p>
    <w:p>
      <w:pPr>
        <w:jc w:val="both"/>
        <w:rPr>
          <w:rFonts w:ascii="Arial" w:hAnsi="Arial" w:cs="Arial"/>
          <w:lang w:val="ru-RU"/>
        </w:rPr>
      </w:pPr>
    </w:p>
    <w:p>
      <w:pPr>
        <w:jc w:val="both"/>
        <w:rPr>
          <w:rFonts w:ascii="Arial" w:hAnsi="Arial" w:cs="Arial"/>
          <w:lang w:val="ru-RU"/>
        </w:rPr>
      </w:pPr>
      <w:r>
        <w:rPr>
          <w:rFonts w:ascii="Arial" w:hAnsi="Arial" w:cs="Arial"/>
          <w:lang w:val="sr-Cyrl-RS"/>
        </w:rPr>
        <w:t>Уочава</w:t>
      </w:r>
      <w:r>
        <w:rPr>
          <w:rFonts w:ascii="Arial" w:hAnsi="Arial" w:cs="Arial"/>
          <w:lang w:val="ru-RU"/>
        </w:rPr>
        <w:t xml:space="preserve"> се изостанак међународних долазака у посматраном периоду. Ово се може приписати различитим факторима, укључујући ограничења путовања у иностранство</w:t>
      </w:r>
      <w:r>
        <w:rPr>
          <w:rFonts w:ascii="Arial" w:hAnsi="Arial" w:cs="Arial"/>
          <w:lang w:val="sr-Cyrl-RS"/>
        </w:rPr>
        <w:t xml:space="preserve"> током периода пандемије</w:t>
      </w:r>
      <w:r>
        <w:rPr>
          <w:rFonts w:ascii="Arial" w:hAnsi="Arial" w:cs="Arial"/>
          <w:lang w:val="ru-RU"/>
        </w:rPr>
        <w:t>, глобалне догађаје</w:t>
      </w:r>
      <w:r>
        <w:rPr>
          <w:rFonts w:ascii="Arial" w:hAnsi="Arial" w:cs="Arial"/>
          <w:lang w:val="sr-Cyrl-RS"/>
        </w:rPr>
        <w:t>, али пре свега</w:t>
      </w:r>
      <w:r>
        <w:rPr>
          <w:rFonts w:ascii="Arial" w:hAnsi="Arial" w:cs="Arial"/>
          <w:lang w:val="ru-RU"/>
        </w:rPr>
        <w:t xml:space="preserve"> привлачност</w:t>
      </w:r>
      <w:r>
        <w:rPr>
          <w:rFonts w:ascii="Arial" w:hAnsi="Arial" w:cs="Arial"/>
          <w:lang w:val="sr-Cyrl-RS"/>
        </w:rPr>
        <w:t xml:space="preserve"> локалне туристичке понуде</w:t>
      </w:r>
      <w:r>
        <w:rPr>
          <w:rFonts w:ascii="Arial" w:hAnsi="Arial" w:cs="Arial"/>
          <w:lang w:val="ru-RU"/>
        </w:rPr>
        <w:t xml:space="preserve"> </w:t>
      </w:r>
      <w:r>
        <w:rPr>
          <w:rFonts w:ascii="Arial" w:hAnsi="Arial" w:cs="Arial"/>
          <w:lang w:val="sr-Cyrl-RS"/>
        </w:rPr>
        <w:t>и</w:t>
      </w:r>
      <w:r>
        <w:rPr>
          <w:rFonts w:ascii="Arial" w:hAnsi="Arial" w:cs="Arial"/>
          <w:lang w:val="ru-RU"/>
        </w:rPr>
        <w:t xml:space="preserve"> </w:t>
      </w:r>
      <w:r>
        <w:rPr>
          <w:rFonts w:ascii="Arial" w:hAnsi="Arial" w:cs="Arial"/>
          <w:lang w:val="sr-Cyrl-RS"/>
        </w:rPr>
        <w:t xml:space="preserve">неефикасне </w:t>
      </w:r>
      <w:r>
        <w:rPr>
          <w:rFonts w:ascii="Arial" w:hAnsi="Arial" w:cs="Arial"/>
          <w:lang w:val="ru-RU"/>
        </w:rPr>
        <w:t>маркетиншк</w:t>
      </w:r>
      <w:r>
        <w:rPr>
          <w:rFonts w:ascii="Arial" w:hAnsi="Arial" w:cs="Arial"/>
          <w:lang w:val="sr-Cyrl-RS"/>
        </w:rPr>
        <w:t>е активности</w:t>
      </w:r>
      <w:r>
        <w:rPr>
          <w:rFonts w:ascii="Arial" w:hAnsi="Arial" w:cs="Arial"/>
          <w:lang w:val="ru-RU"/>
        </w:rPr>
        <w:t>. Међутим, важно је размотрити потенцијалне користи од диверсификације тржишта привлачењем међународних туриста. Ово би могло довести до повећања прихода, културне размене и побољшане глобалне репутације дестинације.</w:t>
      </w:r>
    </w:p>
    <w:p>
      <w:pPr>
        <w:jc w:val="both"/>
        <w:rPr>
          <w:rFonts w:ascii="Arial" w:hAnsi="Arial" w:cs="Arial"/>
          <w:lang w:val="ru-RU"/>
        </w:rPr>
      </w:pPr>
    </w:p>
    <w:p>
      <w:pPr>
        <w:jc w:val="both"/>
        <w:rPr>
          <w:rFonts w:ascii="Arial" w:hAnsi="Arial" w:cs="Arial"/>
          <w:lang w:val="ru-RU"/>
        </w:rPr>
      </w:pPr>
      <w:r>
        <w:rPr>
          <w:rFonts w:ascii="Arial" w:hAnsi="Arial" w:cs="Arial"/>
          <w:lang w:val="ru-RU"/>
        </w:rPr>
        <w:t>У закључку, преовлађујући туристички трендови у општини Гаџин Хан указују на путању позитивног раста, иако са флуктуацијама у стопи експанзије.</w:t>
      </w:r>
      <w:r>
        <w:rPr>
          <w:rFonts w:ascii="Arial" w:hAnsi="Arial" w:cs="Arial"/>
          <w:lang w:val="sr-Cyrl-RS"/>
        </w:rPr>
        <w:t xml:space="preserve"> </w:t>
      </w:r>
      <w:r>
        <w:rPr>
          <w:rStyle w:val="77"/>
          <w:rFonts w:ascii="Arial" w:hAnsi="Arial" w:cs="Arial"/>
          <w:lang w:val="sr-Cyrl-RS"/>
        </w:rPr>
        <w:t>Иако</w:t>
      </w:r>
      <w:r>
        <w:rPr>
          <w:rStyle w:val="77"/>
          <w:rFonts w:ascii="Arial" w:hAnsi="Arial" w:cs="Arial"/>
          <w:lang w:val="sr-Latn-RS"/>
        </w:rPr>
        <w:t xml:space="preserve"> </w:t>
      </w:r>
      <w:r>
        <w:rPr>
          <w:rStyle w:val="77"/>
          <w:rFonts w:ascii="Arial" w:hAnsi="Arial" w:cs="Arial"/>
          <w:lang w:val="sr-Cyrl-RS"/>
        </w:rPr>
        <w:t>је предвиђен</w:t>
      </w:r>
      <w:r>
        <w:rPr>
          <w:rStyle w:val="77"/>
          <w:rFonts w:ascii="Arial" w:hAnsi="Arial" w:cs="Arial"/>
          <w:lang w:val="sr-Latn-RS"/>
        </w:rPr>
        <w:t xml:space="preserve"> раст</w:t>
      </w:r>
      <w:r>
        <w:rPr>
          <w:rStyle w:val="77"/>
          <w:rFonts w:ascii="Arial" w:hAnsi="Arial" w:cs="Arial"/>
          <w:lang w:val="sr-Cyrl-RS"/>
        </w:rPr>
        <w:t xml:space="preserve"> туристичког промета</w:t>
      </w:r>
      <w:r>
        <w:rPr>
          <w:rStyle w:val="77"/>
          <w:rFonts w:ascii="Arial" w:hAnsi="Arial" w:cs="Arial"/>
          <w:lang w:val="sr-Latn-RS"/>
        </w:rPr>
        <w:t>, пројекције наглашавају важност флексибилности и одзива на промену тржишне динамике у обезбеђивању дугорочне одрживости и успеха.</w:t>
      </w:r>
      <w:r>
        <w:rPr>
          <w:rFonts w:ascii="Arial" w:hAnsi="Arial" w:cs="Arial"/>
          <w:lang w:val="ru-RU"/>
        </w:rPr>
        <w:t xml:space="preserve"> Унапређење туристичке инфраструктуре у региону повећањем доступности категорисаних опција смештаја, диверзификацијом маркетиншких приступа и побољшањем опште доступности могло би значајно да подигне привлачност </w:t>
      </w:r>
      <w:r>
        <w:rPr>
          <w:rFonts w:ascii="Arial" w:hAnsi="Arial" w:cs="Arial"/>
          <w:lang w:val="sr-Cyrl-RS"/>
        </w:rPr>
        <w:t xml:space="preserve">општине </w:t>
      </w:r>
      <w:r>
        <w:rPr>
          <w:rFonts w:ascii="Arial" w:hAnsi="Arial" w:cs="Arial"/>
          <w:lang w:val="ru-RU"/>
        </w:rPr>
        <w:t>Гаџин Хан као туристичке дестинације. Наиме, уочено смањење туристичког промета у 2022. години у односу на претходну годину вероватно је под утицајем комбинације фактора. То може укључивати промене у преференцијама потрошача, економским условима</w:t>
      </w:r>
      <w:r>
        <w:rPr>
          <w:rFonts w:ascii="Arial" w:hAnsi="Arial" w:cs="Arial"/>
          <w:lang w:val="sr-Cyrl-RS"/>
        </w:rPr>
        <w:t>, квалитетом туристичке инфраструктуре и супраструктуре, скромном туристичком понудом</w:t>
      </w:r>
      <w:r>
        <w:rPr>
          <w:rFonts w:ascii="Arial" w:hAnsi="Arial" w:cs="Arial"/>
          <w:lang w:val="ru-RU"/>
        </w:rPr>
        <w:t xml:space="preserve"> или спољним факторима као што су глобални</w:t>
      </w:r>
      <w:r>
        <w:rPr>
          <w:rFonts w:ascii="Arial" w:hAnsi="Arial" w:cs="Arial"/>
          <w:lang w:val="sr-Cyrl-RS"/>
        </w:rPr>
        <w:t xml:space="preserve"> геополитички</w:t>
      </w:r>
      <w:r>
        <w:rPr>
          <w:rFonts w:ascii="Arial" w:hAnsi="Arial" w:cs="Arial"/>
          <w:lang w:val="ru-RU"/>
        </w:rPr>
        <w:t xml:space="preserve"> догађаји или ограничења путовања.</w:t>
      </w:r>
    </w:p>
    <w:p>
      <w:pPr>
        <w:jc w:val="both"/>
        <w:rPr>
          <w:rFonts w:ascii="Arial" w:hAnsi="Arial" w:cs="Arial"/>
          <w:lang w:val="ru-RU"/>
        </w:rPr>
      </w:pPr>
    </w:p>
    <w:p>
      <w:pPr>
        <w:jc w:val="both"/>
        <w:rPr>
          <w:rFonts w:ascii="Arial" w:hAnsi="Arial" w:cs="Arial"/>
          <w:lang w:val="ru-RU"/>
        </w:rPr>
      </w:pPr>
      <w:r>
        <w:rPr>
          <w:rFonts w:ascii="Arial" w:hAnsi="Arial" w:cs="Arial"/>
          <w:lang w:val="ru-RU"/>
        </w:rPr>
        <w:t>Штавише, пројектовани тренд благог повећања туристичког промета у наредн</w:t>
      </w:r>
      <w:r>
        <w:rPr>
          <w:rFonts w:ascii="Arial" w:hAnsi="Arial" w:cs="Arial"/>
          <w:lang w:val="sr-Cyrl-RS"/>
        </w:rPr>
        <w:t>их пет</w:t>
      </w:r>
      <w:r>
        <w:rPr>
          <w:rFonts w:ascii="Arial" w:hAnsi="Arial" w:cs="Arial"/>
          <w:lang w:val="ru-RU"/>
        </w:rPr>
        <w:t xml:space="preserve"> година</w:t>
      </w:r>
      <w:r>
        <w:rPr>
          <w:rFonts w:ascii="Arial" w:hAnsi="Arial" w:cs="Arial"/>
          <w:lang w:val="sr-Cyrl-RS"/>
        </w:rPr>
        <w:t>, предвиђа</w:t>
      </w:r>
      <w:r>
        <w:rPr>
          <w:rFonts w:ascii="Arial" w:hAnsi="Arial" w:cs="Arial"/>
          <w:lang w:val="ru-RU"/>
        </w:rPr>
        <w:t xml:space="preserve"> постепен, али позитиван замах интересовања туриста. Да би се искористио овај узлазни тренд, морају се предузети проактивне мере како би се повећала привлачност Гаџин Хана за </w:t>
      </w:r>
      <w:r>
        <w:rPr>
          <w:rFonts w:ascii="Arial" w:hAnsi="Arial" w:cs="Arial"/>
          <w:lang w:val="sr-Cyrl-RS"/>
        </w:rPr>
        <w:t>туристе</w:t>
      </w:r>
      <w:r>
        <w:rPr>
          <w:rFonts w:ascii="Arial" w:hAnsi="Arial" w:cs="Arial"/>
          <w:lang w:val="ru-RU"/>
        </w:rPr>
        <w:t xml:space="preserve">. Спровођење циљаних промотивних кампања које наглашавају јединствена културна и природна добра </w:t>
      </w:r>
      <w:r>
        <w:rPr>
          <w:rFonts w:ascii="Arial" w:hAnsi="Arial" w:cs="Arial"/>
          <w:lang w:val="sr-Cyrl-RS"/>
        </w:rPr>
        <w:t>тог простора</w:t>
      </w:r>
      <w:r>
        <w:rPr>
          <w:rFonts w:ascii="Arial" w:hAnsi="Arial" w:cs="Arial"/>
          <w:lang w:val="ru-RU"/>
        </w:rPr>
        <w:t xml:space="preserve"> могло би помоћи да се подстакне интересовање </w:t>
      </w:r>
      <w:r>
        <w:rPr>
          <w:rFonts w:ascii="Arial" w:hAnsi="Arial" w:cs="Arial"/>
          <w:lang w:val="sr-Cyrl-RS"/>
        </w:rPr>
        <w:t>туриста</w:t>
      </w:r>
      <w:r>
        <w:rPr>
          <w:rFonts w:ascii="Arial" w:hAnsi="Arial" w:cs="Arial"/>
          <w:lang w:val="ru-RU"/>
        </w:rPr>
        <w:t xml:space="preserve"> и скрене пажња на туристичку понуду.</w:t>
      </w:r>
    </w:p>
    <w:p>
      <w:pPr>
        <w:jc w:val="both"/>
        <w:rPr>
          <w:rFonts w:ascii="Arial" w:hAnsi="Arial" w:cs="Arial"/>
          <w:lang w:val="ru-RU"/>
        </w:rPr>
      </w:pPr>
    </w:p>
    <w:p>
      <w:pPr>
        <w:spacing w:line="302" w:lineRule="exact"/>
        <w:jc w:val="both"/>
        <w:rPr>
          <w:rFonts w:ascii="Arial" w:hAnsi="Arial" w:cs="Arial"/>
          <w:lang w:val="ru-RU"/>
        </w:rPr>
      </w:pPr>
      <w:r>
        <w:rPr>
          <w:rFonts w:ascii="Arial" w:hAnsi="Arial" w:cs="Arial"/>
          <w:lang w:val="sr-Cyrl-RS"/>
        </w:rPr>
        <w:t>Уз то</w:t>
      </w:r>
      <w:r>
        <w:rPr>
          <w:rFonts w:ascii="Arial" w:hAnsi="Arial" w:cs="Arial"/>
          <w:lang w:val="ru-RU"/>
        </w:rPr>
        <w:t xml:space="preserve">, улагање у бољу инфраструктуру, укључујући </w:t>
      </w:r>
      <w:r>
        <w:rPr>
          <w:rFonts w:ascii="Arial" w:hAnsi="Arial" w:cs="Arial"/>
          <w:lang w:val="sr-Cyrl-RS"/>
        </w:rPr>
        <w:t xml:space="preserve">саобраћајну мрежу </w:t>
      </w:r>
      <w:r>
        <w:rPr>
          <w:rFonts w:ascii="Arial" w:hAnsi="Arial" w:cs="Arial"/>
          <w:lang w:val="ru-RU"/>
        </w:rPr>
        <w:t xml:space="preserve">и </w:t>
      </w:r>
      <w:r>
        <w:rPr>
          <w:rFonts w:ascii="Arial" w:hAnsi="Arial" w:cs="Arial"/>
          <w:lang w:val="sr-Cyrl-RS"/>
        </w:rPr>
        <w:t>туристичку супраструктуру</w:t>
      </w:r>
      <w:r>
        <w:rPr>
          <w:rFonts w:ascii="Arial" w:hAnsi="Arial" w:cs="Arial"/>
          <w:lang w:val="ru-RU"/>
        </w:rPr>
        <w:t xml:space="preserve">, побољшало би целокупно искуство </w:t>
      </w:r>
      <w:r>
        <w:rPr>
          <w:rFonts w:ascii="Arial" w:hAnsi="Arial" w:cs="Arial"/>
          <w:lang w:val="sr-Cyrl-RS"/>
        </w:rPr>
        <w:t>туриста</w:t>
      </w:r>
      <w:r>
        <w:rPr>
          <w:rFonts w:ascii="Arial" w:hAnsi="Arial" w:cs="Arial"/>
          <w:lang w:val="ru-RU"/>
        </w:rPr>
        <w:t xml:space="preserve"> и учинило Гаџин Хан доступнијим и домаћим и међународним </w:t>
      </w:r>
      <w:r>
        <w:rPr>
          <w:rFonts w:ascii="Arial" w:hAnsi="Arial" w:cs="Arial"/>
          <w:lang w:val="sr-Cyrl-RS"/>
        </w:rPr>
        <w:t>туристима</w:t>
      </w:r>
      <w:r>
        <w:rPr>
          <w:rFonts w:ascii="Arial" w:hAnsi="Arial" w:cs="Arial"/>
          <w:lang w:val="ru-RU"/>
        </w:rPr>
        <w:t xml:space="preserve">. Стратешким усклађивањем ресурса и неговањем сарадње између јавних и приватних заинтересованих страна, Гаџин Хан може да се позиционира као </w:t>
      </w:r>
      <w:r>
        <w:rPr>
          <w:rFonts w:ascii="Arial" w:hAnsi="Arial" w:cs="Arial"/>
          <w:lang w:val="sr-Cyrl-RS"/>
        </w:rPr>
        <w:t>нова</w:t>
      </w:r>
      <w:r>
        <w:rPr>
          <w:rFonts w:ascii="Arial" w:hAnsi="Arial" w:cs="Arial"/>
          <w:lang w:val="ru-RU"/>
        </w:rPr>
        <w:t xml:space="preserve"> </w:t>
      </w:r>
      <w:r>
        <w:rPr>
          <w:rFonts w:ascii="Arial" w:hAnsi="Arial" w:cs="Arial"/>
          <w:lang w:val="sr-Cyrl-RS"/>
        </w:rPr>
        <w:t xml:space="preserve">растућа </w:t>
      </w:r>
      <w:r>
        <w:rPr>
          <w:rFonts w:ascii="Arial" w:hAnsi="Arial" w:cs="Arial"/>
          <w:lang w:val="ru-RU"/>
        </w:rPr>
        <w:t xml:space="preserve">туристичка дестинација </w:t>
      </w:r>
      <w:r>
        <w:rPr>
          <w:rFonts w:ascii="Arial" w:hAnsi="Arial" w:cs="Arial"/>
          <w:lang w:val="sr-Cyrl-RS"/>
        </w:rPr>
        <w:t xml:space="preserve">која може да </w:t>
      </w:r>
      <w:r>
        <w:rPr>
          <w:rFonts w:ascii="Arial" w:hAnsi="Arial" w:cs="Arial"/>
          <w:lang w:val="ru-RU"/>
        </w:rPr>
        <w:t xml:space="preserve">обезбеди одржив раст </w:t>
      </w:r>
      <w:r>
        <w:rPr>
          <w:rFonts w:ascii="Arial" w:hAnsi="Arial" w:cs="Arial"/>
          <w:lang w:val="sr-Cyrl-RS"/>
        </w:rPr>
        <w:t>локалној заједници</w:t>
      </w:r>
      <w:r>
        <w:rPr>
          <w:rFonts w:ascii="Arial" w:hAnsi="Arial" w:cs="Arial"/>
          <w:lang w:val="ru-RU"/>
        </w:rPr>
        <w:t>. Пажљиво планирање, подржано опрезним улагањима и ангажовањем заинтересованих страна, биће од кључног значаја за одржавање и јачање туристичког потенцијала општине у годинама које долазе.</w:t>
      </w:r>
    </w:p>
    <w:p>
      <w:pPr>
        <w:rPr>
          <w:lang w:val="ru-RU"/>
        </w:rPr>
      </w:pPr>
      <w:r>
        <w:rPr>
          <w:lang w:val="ru-RU"/>
        </w:rPr>
        <w:br w:type="page"/>
      </w:r>
    </w:p>
    <w:p>
      <w:pPr>
        <w:spacing w:line="302" w:lineRule="exact"/>
        <w:jc w:val="both"/>
        <w:rPr>
          <w:rFonts w:ascii="Arial" w:hAnsi="Arial"/>
          <w:lang w:val="sr-Cyrl-RS"/>
        </w:rPr>
      </w:pPr>
    </w:p>
    <w:p>
      <w:pPr>
        <w:pStyle w:val="2"/>
        <w:rPr>
          <w:rFonts w:ascii="Arial" w:hAnsi="Arial" w:eastAsia="Arial" w:cs="Arial"/>
          <w:b/>
          <w:bCs w:val="0"/>
          <w:sz w:val="24"/>
          <w:szCs w:val="24"/>
          <w:lang w:val="sr-Cyrl-RS"/>
        </w:rPr>
      </w:pPr>
      <w:bookmarkStart w:id="93" w:name="_Toc159226541"/>
      <w:r>
        <w:rPr>
          <w:rFonts w:ascii="Arial" w:hAnsi="Arial" w:eastAsia="Arial" w:cs="Arial"/>
          <w:b/>
          <w:bCs w:val="0"/>
          <w:sz w:val="24"/>
          <w:szCs w:val="24"/>
          <w:lang w:val="sr-Cyrl-RS"/>
        </w:rPr>
        <w:t>10. АНАЛИЗА И ПЛАН КОНКУРЕНТНОСТИ СА ПРЕДЛОГОМ КЉУЧНИХ ИНВЕСТИЦИОНИХ ПРОЈЕКАТА</w:t>
      </w:r>
      <w:bookmarkEnd w:id="93"/>
    </w:p>
    <w:p>
      <w:pPr>
        <w:spacing w:line="275" w:lineRule="auto"/>
        <w:jc w:val="both"/>
        <w:rPr>
          <w:rFonts w:ascii="Arial" w:hAnsi="Arial" w:eastAsia="Arial"/>
          <w:lang w:val="sr-Cyrl-RS"/>
        </w:rPr>
      </w:pPr>
      <w:r>
        <w:rPr>
          <w:rFonts w:ascii="Arial" w:hAnsi="Arial" w:eastAsia="Arial"/>
          <w:lang w:val="sr-Cyrl-RS"/>
        </w:rPr>
        <w:t>Конкурентност туристичке дестинације се дефинише као способност дестинације да повећа туристичку потрошњу и привуче више туриста пружајући им незаборавно искуство, а уз то је профитабилна и доноси добробити будућим нараштајима (Бартолучи, 2013.). Туристичка дестинација је конкурентна када инвестиције у њу имају вишу стопу повраћаја на инвестиције (енгл. Return on Investment-ROI) у поређењу с осталим дестинацијама. На тај начин, постаје привлачна за инвеститоре, али и за запослене и локално становништво. Наведено подручје има велики потенцијал за развој туризма, али се морају реализовати кључни програми конкурентности, будући да је ниво развоја туризма низак, а постојећа инфраструктура није адекватна за планирани развој.</w:t>
      </w:r>
    </w:p>
    <w:p>
      <w:pPr>
        <w:spacing w:line="334" w:lineRule="exact"/>
        <w:rPr>
          <w:lang w:val="sr-Cyrl-RS"/>
        </w:rPr>
      </w:pPr>
    </w:p>
    <w:p>
      <w:pPr>
        <w:spacing w:line="271" w:lineRule="auto"/>
        <w:ind w:right="20"/>
        <w:jc w:val="both"/>
        <w:rPr>
          <w:rFonts w:ascii="Arial" w:hAnsi="Arial" w:eastAsia="Arial"/>
          <w:lang w:val="sr-Cyrl-RS"/>
        </w:rPr>
      </w:pPr>
      <w:r>
        <w:rPr>
          <w:rFonts w:ascii="Arial" w:hAnsi="Arial" w:eastAsia="Arial"/>
          <w:lang w:val="sr-Cyrl-RS"/>
        </w:rPr>
        <w:t>Предложени програми конкурентности имају за циљ стварање услова за унапређење развоја туризма и развијени су према Портеровом дијаманту конкурентности.</w:t>
      </w:r>
    </w:p>
    <w:p>
      <w:pPr>
        <w:spacing w:line="335" w:lineRule="exact"/>
        <w:rPr>
          <w:lang w:val="sr-Cyrl-RS"/>
        </w:rPr>
      </w:pPr>
    </w:p>
    <w:p>
      <w:pPr>
        <w:spacing w:line="0" w:lineRule="atLeast"/>
        <w:rPr>
          <w:rFonts w:ascii="Arial" w:hAnsi="Arial" w:eastAsia="Arial"/>
          <w:lang w:val="sr-Cyrl-RS"/>
        </w:rPr>
        <w:sectPr>
          <w:type w:val="continuous"/>
          <w:pgSz w:w="11900" w:h="16840"/>
          <w:pgMar w:top="707" w:right="1425" w:bottom="551" w:left="1440" w:header="0" w:footer="0" w:gutter="0"/>
          <w:cols w:equalWidth="0" w:num="1">
            <w:col w:w="9040"/>
          </w:cols>
          <w:docGrid w:linePitch="360" w:charSpace="0"/>
        </w:sectPr>
      </w:pPr>
      <w:r>
        <w:rPr>
          <w:rFonts w:ascii="Arial" w:hAnsi="Arial" w:eastAsia="Arial"/>
          <w:lang w:val="sr-Cyrl-RS"/>
        </w:rPr>
        <w:t>Приоритети су одређени на бази процене ефеката који програм треба да има на посетиоце и локално становништво.</w:t>
      </w:r>
    </w:p>
    <w:p>
      <w:pPr>
        <w:spacing w:line="319" w:lineRule="exact"/>
        <w:rPr>
          <w:lang w:val="sr-Cyrl-RS"/>
        </w:rPr>
      </w:pPr>
    </w:p>
    <w:p>
      <w:pPr>
        <w:spacing w:line="0" w:lineRule="atLeast"/>
        <w:rPr>
          <w:rFonts w:ascii="Arial" w:hAnsi="Arial" w:eastAsia="Arial"/>
          <w:lang w:val="sr-Cyrl-RS"/>
        </w:rPr>
      </w:pPr>
      <w:r>
        <w:rPr>
          <w:rFonts w:ascii="Arial" w:hAnsi="Arial" w:eastAsia="Arial"/>
          <w:lang w:val="sr-Cyrl-RS"/>
        </w:rPr>
        <w:t>Програми конкурентности:</w:t>
      </w:r>
    </w:p>
    <w:p>
      <w:pPr>
        <w:spacing w:line="20" w:lineRule="exact"/>
        <w:rPr>
          <w:lang w:val="sr-Cyrl-RS"/>
        </w:rPr>
      </w:pPr>
      <w:r>
        <w:rPr>
          <w:rFonts w:ascii="Arial" w:hAnsi="Arial" w:eastAsia="Arial"/>
          <w:lang w:eastAsia="en-US"/>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180975</wp:posOffset>
                </wp:positionV>
                <wp:extent cx="2839720" cy="0"/>
                <wp:effectExtent l="0" t="0" r="0" b="0"/>
                <wp:wrapNone/>
                <wp:docPr id="1170591535" name="Line 169"/>
                <wp:cNvGraphicFramePr/>
                <a:graphic xmlns:a="http://schemas.openxmlformats.org/drawingml/2006/main">
                  <a:graphicData uri="http://schemas.microsoft.com/office/word/2010/wordprocessingShape">
                    <wps:wsp>
                      <wps:cNvCnPr/>
                      <wps:spPr bwMode="auto">
                        <a:xfrm>
                          <a:off x="0" y="0"/>
                          <a:ext cx="2839720" cy="0"/>
                        </a:xfrm>
                        <a:prstGeom prst="line">
                          <a:avLst/>
                        </a:prstGeom>
                        <a:noFill/>
                        <a:ln w="12700">
                          <a:solidFill>
                            <a:srgbClr val="B2B2B2"/>
                          </a:solidFill>
                          <a:round/>
                        </a:ln>
                      </wps:spPr>
                      <wps:bodyPr/>
                    </wps:wsp>
                  </a:graphicData>
                </a:graphic>
              </wp:anchor>
            </w:drawing>
          </mc:Choice>
          <mc:Fallback>
            <w:pict>
              <v:line id="Line 169" o:spid="_x0000_s1026" o:spt="20" style="position:absolute;left:0pt;margin-left:0pt;margin-top:14.25pt;height:0pt;width:223.6pt;z-index:-251641856;mso-width-relative:page;mso-height-relative:page;" filled="f" stroked="t" coordsize="21600,21600" o:gfxdata="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2LYWV1QAAAAYBAAAPAAAAAAAAAAEAIAAAACIAAABkcnMvZG93bnJldi54bWxQSwECFAAU&#10;AAAACACHTuJAE65+TLsBAAB5AwAADgAAAAAAAAABACAAAAAkAQAAZHJzL2Uyb0RvYy54bWxQSwUG&#10;AAAAAAYABgBZAQAAUQUAAAAA&#10;">
                <v:fill on="f" focussize="0,0"/>
                <v:stroke weight="1pt" color="#B2B2B2" joinstyle="round"/>
                <v:imagedata o:title=""/>
                <o:lock v:ext="edit" aspectratio="f"/>
              </v:line>
            </w:pict>
          </mc:Fallback>
        </mc:AlternateContent>
      </w:r>
    </w:p>
    <w:p>
      <w:pPr>
        <w:spacing w:line="285" w:lineRule="exact"/>
        <w:rPr>
          <w:lang w:val="sr-Cyrl-RS"/>
        </w:rPr>
      </w:pPr>
    </w:p>
    <w:p>
      <w:pPr>
        <w:spacing w:line="250" w:lineRule="auto"/>
        <w:ind w:left="120" w:right="660"/>
        <w:rPr>
          <w:rFonts w:ascii="Arial" w:hAnsi="Arial" w:eastAsia="Arial"/>
          <w:b/>
          <w:sz w:val="23"/>
          <w:lang w:val="sr-Cyrl-RS"/>
        </w:rPr>
      </w:pPr>
      <w:r>
        <w:rPr>
          <w:rFonts w:ascii="Arial" w:hAnsi="Arial" w:eastAsia="Arial"/>
          <w:b/>
          <w:sz w:val="23"/>
          <w:lang w:val="sr-Cyrl-RS"/>
        </w:rPr>
        <w:t>1 . УСПОСТАВЉАЊЕ ИНФОРМАТИВНОГ ЦЕНТРА</w:t>
      </w:r>
    </w:p>
    <w:p>
      <w:pPr>
        <w:spacing w:line="20" w:lineRule="exact"/>
        <w:rPr>
          <w:lang w:val="sr-Cyrl-RS"/>
        </w:rPr>
      </w:pPr>
      <w:r>
        <w:rPr>
          <w:rFonts w:ascii="Arial" w:hAnsi="Arial" w:eastAsia="Arial"/>
          <w:b/>
          <w:sz w:val="23"/>
          <w:lang w:eastAsia="en-US"/>
        </w:rPr>
        <w:drawing>
          <wp:anchor distT="0" distB="0" distL="114300" distR="114300" simplePos="0" relativeHeight="251675648" behindDoc="1" locked="0" layoutInCell="1" allowOverlap="1">
            <wp:simplePos x="0" y="0"/>
            <wp:positionH relativeFrom="column">
              <wp:posOffset>635</wp:posOffset>
            </wp:positionH>
            <wp:positionV relativeFrom="paragraph">
              <wp:posOffset>-6350</wp:posOffset>
            </wp:positionV>
            <wp:extent cx="2839720" cy="1416685"/>
            <wp:effectExtent l="0" t="0" r="0" b="0"/>
            <wp:wrapNone/>
            <wp:docPr id="170" name="Picture 28" descr="A white rectangular object with a black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70" name="Picture 28" descr="A white rectangular object with a black border&#10;&#10;Description automatically generated"/>
                    <pic:cNvPicPr/>
                  </pic:nvPicPr>
                  <pic:blipFill>
                    <a:blip r:embed="rId32" cstate="email"/>
                    <a:srcRect/>
                    <a:stretch>
                      <a:fillRect/>
                    </a:stretch>
                  </pic:blipFill>
                  <pic:spPr>
                    <a:xfrm>
                      <a:off x="0" y="0"/>
                      <a:ext cx="2839720" cy="1416685"/>
                    </a:xfrm>
                    <a:prstGeom prst="rect">
                      <a:avLst/>
                    </a:prstGeom>
                    <a:noFill/>
                  </pic:spPr>
                </pic:pic>
              </a:graphicData>
            </a:graphic>
          </wp:anchor>
        </w:drawing>
      </w:r>
    </w:p>
    <w:p>
      <w:pPr>
        <w:spacing w:line="0" w:lineRule="atLeast"/>
        <w:ind w:left="120"/>
        <w:rPr>
          <w:rFonts w:ascii="Arial" w:hAnsi="Arial" w:eastAsia="Arial"/>
          <w:b/>
          <w:lang w:val="sr-Cyrl-RS"/>
        </w:rPr>
      </w:pPr>
      <w:r>
        <w:rPr>
          <w:rFonts w:ascii="Arial" w:hAnsi="Arial" w:eastAsia="Arial"/>
          <w:b/>
          <w:lang w:val="sr-Cyrl-RS"/>
        </w:rPr>
        <w:t>Концепт:</w:t>
      </w: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335" w:lineRule="exact"/>
        <w:rPr>
          <w:lang w:val="sr-Cyrl-RS"/>
        </w:rPr>
      </w:pPr>
    </w:p>
    <w:p>
      <w:pPr>
        <w:spacing w:line="0" w:lineRule="atLeast"/>
        <w:ind w:left="120"/>
        <w:rPr>
          <w:rFonts w:ascii="Arial" w:hAnsi="Arial" w:eastAsia="Arial"/>
          <w:b/>
          <w:lang w:val="sr-Cyrl-RS"/>
        </w:rPr>
      </w:pPr>
      <w:r>
        <w:rPr>
          <w:rFonts w:ascii="Arial" w:hAnsi="Arial" w:eastAsia="Arial"/>
          <w:b/>
          <w:lang w:val="sr-Cyrl-RS"/>
        </w:rPr>
        <w:t>Извори финансирања</w:t>
      </w:r>
    </w:p>
    <w:p>
      <w:pPr>
        <w:spacing w:line="20" w:lineRule="exact"/>
        <w:rPr>
          <w:lang w:val="sr-Cyrl-RS"/>
        </w:rPr>
      </w:pPr>
      <w:r>
        <w:rPr>
          <w:rFonts w:ascii="Arial" w:hAnsi="Arial" w:eastAsia="Arial"/>
          <w:b/>
          <w:lang w:eastAsia="en-US"/>
        </w:rPr>
        <w:drawing>
          <wp:anchor distT="0" distB="0" distL="114300" distR="114300" simplePos="0" relativeHeight="251676672" behindDoc="1" locked="0" layoutInCell="1" allowOverlap="1">
            <wp:simplePos x="0" y="0"/>
            <wp:positionH relativeFrom="column">
              <wp:posOffset>635</wp:posOffset>
            </wp:positionH>
            <wp:positionV relativeFrom="paragraph">
              <wp:posOffset>174625</wp:posOffset>
            </wp:positionV>
            <wp:extent cx="2839720" cy="177800"/>
            <wp:effectExtent l="0" t="0" r="0" b="0"/>
            <wp:wrapNone/>
            <wp:docPr id="171" name="Picture 27"/>
            <wp:cNvGraphicFramePr/>
            <a:graphic xmlns:a="http://schemas.openxmlformats.org/drawingml/2006/main">
              <a:graphicData uri="http://schemas.openxmlformats.org/drawingml/2006/picture">
                <pic:pic xmlns:pic="http://schemas.openxmlformats.org/drawingml/2006/picture">
                  <pic:nvPicPr>
                    <pic:cNvPr id="171" name="Picture 27"/>
                    <pic:cNvPicPr/>
                  </pic:nvPicPr>
                  <pic:blipFill>
                    <a:blip r:embed="rId33" cstate="email"/>
                    <a:srcRect/>
                    <a:stretch>
                      <a:fillRect/>
                    </a:stretch>
                  </pic:blipFill>
                  <pic:spPr>
                    <a:xfrm>
                      <a:off x="0" y="0"/>
                      <a:ext cx="2839720" cy="177800"/>
                    </a:xfrm>
                    <a:prstGeom prst="rect">
                      <a:avLst/>
                    </a:prstGeom>
                    <a:noFill/>
                  </pic:spPr>
                </pic:pic>
              </a:graphicData>
            </a:graphic>
          </wp:anchor>
        </w:drawing>
      </w:r>
    </w:p>
    <w:p>
      <w:pPr>
        <w:spacing w:line="265" w:lineRule="exact"/>
        <w:rPr>
          <w:lang w:val="sr-Cyrl-RS"/>
        </w:rPr>
      </w:pPr>
    </w:p>
    <w:p>
      <w:pPr>
        <w:spacing w:line="254" w:lineRule="auto"/>
        <w:ind w:left="120" w:right="1340"/>
        <w:rPr>
          <w:rFonts w:ascii="Arial" w:hAnsi="Arial" w:eastAsia="Arial"/>
          <w:b/>
          <w:sz w:val="23"/>
          <w:lang w:val="sr-Cyrl-RS"/>
        </w:rPr>
      </w:pPr>
      <w:r>
        <w:rPr>
          <w:rFonts w:ascii="Arial" w:hAnsi="Arial" w:eastAsia="Arial"/>
          <w:b/>
          <w:sz w:val="23"/>
          <w:lang w:val="sr-Cyrl-RS"/>
        </w:rPr>
        <w:t>Временски приоритет Ниво приоритета</w:t>
      </w:r>
    </w:p>
    <w:p>
      <w:pPr>
        <w:spacing w:line="20" w:lineRule="exact"/>
        <w:rPr>
          <w:lang w:val="sr-Cyrl-RS"/>
        </w:rPr>
      </w:pPr>
      <w:r>
        <w:rPr>
          <w:rFonts w:ascii="Arial" w:hAnsi="Arial" w:eastAsia="Arial"/>
          <w:b/>
          <w:sz w:val="23"/>
          <w:lang w:eastAsia="en-US"/>
        </w:rPr>
        <mc:AlternateContent>
          <mc:Choice Requires="wps">
            <w:drawing>
              <wp:anchor distT="0" distB="0" distL="114300" distR="114300" simplePos="0" relativeHeight="251677696" behindDoc="1" locked="0" layoutInCell="1" allowOverlap="1">
                <wp:simplePos x="0" y="0"/>
                <wp:positionH relativeFrom="column">
                  <wp:posOffset>0</wp:posOffset>
                </wp:positionH>
                <wp:positionV relativeFrom="paragraph">
                  <wp:posOffset>359410</wp:posOffset>
                </wp:positionV>
                <wp:extent cx="2842895" cy="0"/>
                <wp:effectExtent l="0" t="0" r="1905" b="0"/>
                <wp:wrapNone/>
                <wp:docPr id="1402341408" name="Line 172"/>
                <wp:cNvGraphicFramePr/>
                <a:graphic xmlns:a="http://schemas.openxmlformats.org/drawingml/2006/main">
                  <a:graphicData uri="http://schemas.microsoft.com/office/word/2010/wordprocessingShape">
                    <wps:wsp>
                      <wps:cNvCnPr/>
                      <wps:spPr bwMode="auto">
                        <a:xfrm>
                          <a:off x="0" y="0"/>
                          <a:ext cx="2842895" cy="0"/>
                        </a:xfrm>
                        <a:prstGeom prst="line">
                          <a:avLst/>
                        </a:prstGeom>
                        <a:noFill/>
                        <a:ln w="12700">
                          <a:solidFill>
                            <a:srgbClr val="969696"/>
                          </a:solidFill>
                          <a:round/>
                        </a:ln>
                      </wps:spPr>
                      <wps:bodyPr/>
                    </wps:wsp>
                  </a:graphicData>
                </a:graphic>
              </wp:anchor>
            </w:drawing>
          </mc:Choice>
          <mc:Fallback>
            <w:pict>
              <v:line id="Line 172" o:spid="_x0000_s1026" o:spt="20" style="position:absolute;left:0pt;margin-left:0pt;margin-top:28.3pt;height:0pt;width:223.85pt;z-index:-251638784;mso-width-relative:page;mso-height-relative:page;" filled="f" stroked="t" coordsize="21600,21600" o:gfxdata="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Z/VJ3WAAAABgEAAA8AAAAAAAAAAQAgAAAAIgAAAGRycy9kb3ducmV2LnhtbFBLAQIUABQA&#10;AAAIAIdO4kC0cA4muQEAAHkDAAAOAAAAAAAAAAEAIAAAACUBAABkcnMvZTJvRG9jLnhtbFBLBQYA&#10;AAAABgAGAFkBAABQBQAAAAA=&#10;">
                <v:fill on="f" focussize="0,0"/>
                <v:stroke weight="1pt" color="#969696" joinstyle="round"/>
                <v:imagedata o:title=""/>
                <o:lock v:ext="edit" aspectratio="f"/>
              </v:line>
            </w:pict>
          </mc:Fallback>
        </mc:AlternateContent>
      </w:r>
    </w:p>
    <w:p>
      <w:pPr>
        <w:spacing w:line="200" w:lineRule="exact"/>
        <w:rPr>
          <w:lang w:val="sr-Cyrl-RS"/>
        </w:rPr>
      </w:pPr>
      <w:r>
        <w:rPr>
          <w:lang w:val="sr-Cyrl-RS"/>
        </w:rPr>
        <w:br w:type="column"/>
      </w: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200" w:lineRule="exact"/>
        <w:rPr>
          <w:lang w:val="sr-Cyrl-RS"/>
        </w:rPr>
      </w:pPr>
    </w:p>
    <w:p>
      <w:pPr>
        <w:spacing w:line="386" w:lineRule="exact"/>
        <w:rPr>
          <w:lang w:val="sr-Cyrl-RS"/>
        </w:rPr>
      </w:pPr>
    </w:p>
    <w:p>
      <w:pPr>
        <w:spacing w:line="237" w:lineRule="auto"/>
        <w:ind w:right="120"/>
        <w:jc w:val="both"/>
        <w:rPr>
          <w:rFonts w:ascii="Arial" w:hAnsi="Arial" w:eastAsia="Arial"/>
          <w:shd w:val="clear" w:color="auto" w:fill="EBEBEB"/>
          <w:lang w:val="sr-Cyrl-RS"/>
        </w:rPr>
      </w:pPr>
      <w:r>
        <w:rPr>
          <w:rFonts w:ascii="Arial" w:hAnsi="Arial" w:eastAsia="Arial"/>
          <w:shd w:val="clear" w:color="auto" w:fill="EBEBEB"/>
          <w:lang w:val="sr-Cyrl-RS"/>
        </w:rPr>
        <w:t>Туристички информативни центри обезбеђују унапређење видљивости дестинације. Они пружају бољу</w:t>
      </w:r>
    </w:p>
    <w:p>
      <w:pPr>
        <w:spacing w:line="20" w:lineRule="exact"/>
        <w:rPr>
          <w:lang w:val="sr-Cyrl-RS"/>
        </w:rPr>
      </w:pPr>
      <w:r>
        <w:rPr>
          <w:rFonts w:ascii="Arial" w:hAnsi="Arial" w:eastAsia="Arial"/>
          <w:shd w:val="clear" w:color="auto" w:fill="EBEBEB"/>
          <w:lang w:eastAsia="en-US"/>
        </w:rPr>
        <w:drawing>
          <wp:anchor distT="0" distB="0" distL="114300" distR="114300" simplePos="0" relativeHeight="251678720" behindDoc="1" locked="0" layoutInCell="1" allowOverlap="1">
            <wp:simplePos x="0" y="0"/>
            <wp:positionH relativeFrom="column">
              <wp:posOffset>-67310</wp:posOffset>
            </wp:positionH>
            <wp:positionV relativeFrom="paragraph">
              <wp:posOffset>-537210</wp:posOffset>
            </wp:positionV>
            <wp:extent cx="2893695" cy="1416685"/>
            <wp:effectExtent l="0" t="0" r="0" b="0"/>
            <wp:wrapNone/>
            <wp:docPr id="173" name="Picture 26" descr="A white background with black and re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3" name="Picture 26" descr="A white background with black and red lines&#10;&#10;Description automatically generated with medium confidence"/>
                    <pic:cNvPicPr/>
                  </pic:nvPicPr>
                  <pic:blipFill>
                    <a:blip r:embed="rId34" cstate="email"/>
                    <a:srcRect/>
                    <a:stretch>
                      <a:fillRect/>
                    </a:stretch>
                  </pic:blipFill>
                  <pic:spPr>
                    <a:xfrm>
                      <a:off x="0" y="0"/>
                      <a:ext cx="2893695" cy="1416685"/>
                    </a:xfrm>
                    <a:prstGeom prst="rect">
                      <a:avLst/>
                    </a:prstGeom>
                    <a:noFill/>
                  </pic:spPr>
                </pic:pic>
              </a:graphicData>
            </a:graphic>
          </wp:anchor>
        </w:drawing>
      </w:r>
    </w:p>
    <w:p>
      <w:pPr>
        <w:spacing w:line="238" w:lineRule="auto"/>
        <w:ind w:right="120"/>
        <w:jc w:val="both"/>
        <w:rPr>
          <w:rFonts w:ascii="Arial" w:hAnsi="Arial" w:eastAsia="Arial"/>
          <w:lang w:val="sr-Cyrl-RS"/>
        </w:rPr>
      </w:pPr>
      <w:r>
        <w:rPr>
          <w:rFonts w:ascii="Arial" w:hAnsi="Arial" w:eastAsia="Arial"/>
          <w:lang w:val="sr-Cyrl-RS"/>
        </w:rPr>
        <w:t xml:space="preserve">доступност информација и </w:t>
      </w:r>
      <w:r>
        <w:rPr>
          <w:rFonts w:ascii="Arial" w:hAnsi="Arial" w:eastAsia="Arial"/>
          <w:shd w:val="clear" w:color="auto" w:fill="EBEBEB"/>
          <w:lang w:val="sr-Cyrl-RS"/>
        </w:rPr>
        <w:t>промотивног материјала (мапе и опште брошуре), букирају програме и туре уз пратњу водича и продају</w:t>
      </w:r>
      <w:r>
        <w:rPr>
          <w:rFonts w:ascii="Arial" w:hAnsi="Arial" w:eastAsia="Arial"/>
          <w:lang w:val="sr-Cyrl-RS"/>
        </w:rPr>
        <w:t xml:space="preserve"> сувенире.</w:t>
      </w:r>
    </w:p>
    <w:p>
      <w:pPr>
        <w:spacing w:line="2" w:lineRule="exact"/>
        <w:rPr>
          <w:lang w:val="sr-Cyrl-RS"/>
        </w:rPr>
      </w:pPr>
    </w:p>
    <w:p>
      <w:pPr>
        <w:spacing w:line="0" w:lineRule="atLeast"/>
        <w:rPr>
          <w:rFonts w:ascii="Arial" w:hAnsi="Arial" w:eastAsia="Arial"/>
          <w:lang w:val="sr-Cyrl-RS"/>
        </w:rPr>
      </w:pPr>
      <w:r>
        <w:rPr>
          <w:rFonts w:ascii="Arial" w:hAnsi="Arial" w:eastAsia="Arial"/>
          <w:lang w:val="sr-Cyrl-RS"/>
        </w:rPr>
        <w:t>ЕУ фондови, буџет Р Србије, буџет</w:t>
      </w:r>
    </w:p>
    <w:p>
      <w:pPr>
        <w:spacing w:line="0" w:lineRule="atLeast"/>
        <w:rPr>
          <w:rFonts w:ascii="Arial" w:hAnsi="Arial" w:eastAsia="Arial"/>
          <w:lang w:val="sr-Cyrl-RS"/>
        </w:rPr>
      </w:pPr>
      <w:r>
        <w:rPr>
          <w:rFonts w:ascii="Arial" w:hAnsi="Arial" w:eastAsia="Arial"/>
          <w:lang w:val="sr-Cyrl-RS"/>
        </w:rPr>
        <w:t>локалне самоуправе, приватни сектор</w:t>
      </w:r>
    </w:p>
    <w:p>
      <w:pPr>
        <w:spacing w:line="20" w:lineRule="exact"/>
        <w:rPr>
          <w:lang w:val="sr-Cyrl-RS"/>
        </w:rPr>
      </w:pPr>
      <w:r>
        <w:rPr>
          <w:rFonts w:ascii="Arial" w:hAnsi="Arial" w:eastAsia="Arial"/>
          <w:lang w:eastAsia="en-US"/>
        </w:rPr>
        <w:drawing>
          <wp:anchor distT="0" distB="0" distL="114300" distR="114300" simplePos="0" relativeHeight="251679744" behindDoc="1" locked="0" layoutInCell="1" allowOverlap="1">
            <wp:simplePos x="0" y="0"/>
            <wp:positionH relativeFrom="column">
              <wp:posOffset>-67310</wp:posOffset>
            </wp:positionH>
            <wp:positionV relativeFrom="paragraph">
              <wp:posOffset>0</wp:posOffset>
            </wp:positionV>
            <wp:extent cx="2893695" cy="177800"/>
            <wp:effectExtent l="0" t="0" r="0" b="0"/>
            <wp:wrapNone/>
            <wp:docPr id="174" name="Picture 25"/>
            <wp:cNvGraphicFramePr/>
            <a:graphic xmlns:a="http://schemas.openxmlformats.org/drawingml/2006/main">
              <a:graphicData uri="http://schemas.openxmlformats.org/drawingml/2006/picture">
                <pic:pic xmlns:pic="http://schemas.openxmlformats.org/drawingml/2006/picture">
                  <pic:nvPicPr>
                    <pic:cNvPr id="174" name="Picture 25"/>
                    <pic:cNvPicPr/>
                  </pic:nvPicPr>
                  <pic:blipFill>
                    <a:blip r:embed="rId35" cstate="email"/>
                    <a:srcRect/>
                    <a:stretch>
                      <a:fillRect/>
                    </a:stretch>
                  </pic:blipFill>
                  <pic:spPr>
                    <a:xfrm>
                      <a:off x="0" y="0"/>
                      <a:ext cx="2893695" cy="177800"/>
                    </a:xfrm>
                    <a:prstGeom prst="rect">
                      <a:avLst/>
                    </a:prstGeom>
                    <a:noFill/>
                  </pic:spPr>
                </pic:pic>
              </a:graphicData>
            </a:graphic>
          </wp:anchor>
        </w:drawing>
      </w:r>
    </w:p>
    <w:p>
      <w:pPr>
        <w:spacing w:line="238" w:lineRule="auto"/>
        <w:rPr>
          <w:rFonts w:ascii="Arial" w:hAnsi="Arial" w:eastAsia="Arial"/>
          <w:lang w:val="sr-Cyrl-RS"/>
        </w:rPr>
      </w:pPr>
      <w:r>
        <w:rPr>
          <w:rFonts w:ascii="Arial" w:hAnsi="Arial" w:eastAsia="Arial"/>
          <w:lang w:val="sr-Cyrl-RS"/>
        </w:rPr>
        <w:t>1-2 године</w:t>
      </w:r>
    </w:p>
    <w:p>
      <w:pPr>
        <w:spacing w:line="4" w:lineRule="exact"/>
        <w:rPr>
          <w:lang w:val="sr-Cyrl-RS"/>
        </w:rPr>
      </w:pPr>
    </w:p>
    <w:p>
      <w:pPr>
        <w:spacing w:line="0" w:lineRule="atLeast"/>
        <w:rPr>
          <w:rFonts w:ascii="Arial" w:hAnsi="Arial" w:eastAsia="Arial"/>
          <w:lang w:val="sr-Cyrl-RS"/>
        </w:rPr>
      </w:pPr>
      <w:r>
        <w:rPr>
          <w:rFonts w:ascii="Arial" w:hAnsi="Arial" w:eastAsia="Arial"/>
          <w:lang w:val="sr-Cyrl-RS"/>
        </w:rPr>
        <w:t>Веома висок</w:t>
      </w:r>
    </w:p>
    <w:p>
      <w:pPr>
        <w:spacing w:line="20" w:lineRule="exact"/>
        <w:rPr>
          <w:lang w:val="sr-Cyrl-RS"/>
        </w:rPr>
      </w:pPr>
      <w:r>
        <w:rPr>
          <w:rFonts w:ascii="Arial" w:hAnsi="Arial" w:eastAsia="Arial"/>
          <w:lang w:eastAsia="en-US"/>
        </w:rPr>
        <mc:AlternateContent>
          <mc:Choice Requires="wps">
            <w:drawing>
              <wp:anchor distT="0" distB="0" distL="114300" distR="114300" simplePos="0" relativeHeight="251680768" behindDoc="1" locked="0" layoutInCell="1" allowOverlap="1">
                <wp:simplePos x="0" y="0"/>
                <wp:positionH relativeFrom="column">
                  <wp:posOffset>-2917190</wp:posOffset>
                </wp:positionH>
                <wp:positionV relativeFrom="paragraph">
                  <wp:posOffset>6350</wp:posOffset>
                </wp:positionV>
                <wp:extent cx="5742305" cy="0"/>
                <wp:effectExtent l="0" t="0" r="0" b="0"/>
                <wp:wrapNone/>
                <wp:docPr id="1253159445" name="Line 175"/>
                <wp:cNvGraphicFramePr/>
                <a:graphic xmlns:a="http://schemas.openxmlformats.org/drawingml/2006/main">
                  <a:graphicData uri="http://schemas.microsoft.com/office/word/2010/wordprocessingShape">
                    <wps:wsp>
                      <wps:cNvCnPr/>
                      <wps:spPr bwMode="auto">
                        <a:xfrm>
                          <a:off x="0" y="0"/>
                          <a:ext cx="5742305" cy="0"/>
                        </a:xfrm>
                        <a:prstGeom prst="line">
                          <a:avLst/>
                        </a:prstGeom>
                        <a:noFill/>
                        <a:ln w="12700">
                          <a:solidFill>
                            <a:srgbClr val="B2B2B2"/>
                          </a:solidFill>
                          <a:round/>
                        </a:ln>
                      </wps:spPr>
                      <wps:bodyPr/>
                    </wps:wsp>
                  </a:graphicData>
                </a:graphic>
              </wp:anchor>
            </w:drawing>
          </mc:Choice>
          <mc:Fallback>
            <w:pict>
              <v:line id="Line 175" o:spid="_x0000_s1026" o:spt="20" style="position:absolute;left:0pt;margin-left:-229.7pt;margin-top:0.5pt;height:0pt;width:452.15pt;z-index:-251635712;mso-width-relative:page;mso-height-relative:page;" filled="f" stroked="t" coordsize="21600,21600" o:gfxdata="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nqB2DWAAAACAEAAA8AAAAAAAAAAQAgAAAAIgAAAGRycy9kb3ducmV2LnhtbFBLAQIUABQA&#10;AAAIAIdO4kCML8uzuQEAAHkDAAAOAAAAAAAAAAEAIAAAACUBAABkcnMvZTJvRG9jLnhtbFBLBQYA&#10;AAAABgAGAFkBAABQBQAAAAA=&#10;">
                <v:fill on="f" focussize="0,0"/>
                <v:stroke weight="1pt" color="#B2B2B2" joinstyle="round"/>
                <v:imagedata o:title=""/>
                <o:lock v:ext="edit" aspectratio="f"/>
              </v:line>
            </w:pict>
          </mc:Fallback>
        </mc:AlternateContent>
      </w:r>
    </w:p>
    <w:p>
      <w:pPr>
        <w:spacing w:line="20" w:lineRule="exact"/>
        <w:rPr>
          <w:lang w:val="sr-Cyrl-RS"/>
        </w:rPr>
        <w:sectPr>
          <w:type w:val="continuous"/>
          <w:pgSz w:w="11900" w:h="16840"/>
          <w:pgMar w:top="707" w:right="1425" w:bottom="551" w:left="1440" w:header="0" w:footer="0" w:gutter="0"/>
          <w:cols w:equalWidth="0" w:num="2">
            <w:col w:w="4080" w:space="500"/>
            <w:col w:w="4460"/>
          </w:cols>
          <w:docGrid w:linePitch="360" w:charSpace="0"/>
        </w:sectPr>
      </w:pPr>
    </w:p>
    <w:p>
      <w:pPr>
        <w:spacing w:line="200" w:lineRule="exact"/>
        <w:rPr>
          <w:lang w:val="sr-Cyrl-RS"/>
        </w:rPr>
      </w:pPr>
    </w:p>
    <w:p>
      <w:pPr>
        <w:spacing w:line="375" w:lineRule="exact"/>
        <w:rPr>
          <w:lang w:val="sr-Cyrl-RS"/>
        </w:rPr>
      </w:pPr>
    </w:p>
    <w:tbl>
      <w:tblPr>
        <w:tblStyle w:val="6"/>
        <w:tblW w:w="0" w:type="auto"/>
        <w:tblInd w:w="120" w:type="dxa"/>
        <w:tblLayout w:type="fixed"/>
        <w:tblCellMar>
          <w:top w:w="0" w:type="dxa"/>
          <w:left w:w="0" w:type="dxa"/>
          <w:bottom w:w="0" w:type="dxa"/>
          <w:right w:w="0" w:type="dxa"/>
        </w:tblCellMar>
      </w:tblPr>
      <w:tblGrid>
        <w:gridCol w:w="4240"/>
        <w:gridCol w:w="3740"/>
      </w:tblGrid>
      <w:tr>
        <w:tblPrEx>
          <w:tblCellMar>
            <w:top w:w="0" w:type="dxa"/>
            <w:left w:w="0" w:type="dxa"/>
            <w:bottom w:w="0" w:type="dxa"/>
            <w:right w:w="0" w:type="dxa"/>
          </w:tblCellMar>
        </w:tblPrEx>
        <w:trPr>
          <w:trHeight w:val="276" w:hRule="atLeast"/>
        </w:trPr>
        <w:tc>
          <w:tcPr>
            <w:tcW w:w="4240" w:type="dxa"/>
            <w:shd w:val="clear" w:color="auto" w:fill="auto"/>
            <w:vAlign w:val="bottom"/>
          </w:tcPr>
          <w:p>
            <w:pPr>
              <w:spacing w:line="0" w:lineRule="atLeast"/>
              <w:rPr>
                <w:rFonts w:ascii="Arial" w:hAnsi="Arial" w:eastAsia="Arial"/>
                <w:b/>
                <w:lang w:val="sr-Cyrl-RS"/>
              </w:rPr>
            </w:pPr>
            <w:r>
              <w:rPr>
                <w:rFonts w:ascii="Arial" w:hAnsi="Arial" w:eastAsia="Arial"/>
                <w:b/>
                <w:lang w:val="sr-Cyrl-RS"/>
              </w:rPr>
              <w:t>2 . ИЗРАДА И УРЕЂЕЊЕ</w:t>
            </w:r>
          </w:p>
        </w:tc>
        <w:tc>
          <w:tcPr>
            <w:tcW w:w="3740" w:type="dxa"/>
            <w:shd w:val="clear" w:color="auto" w:fill="auto"/>
            <w:vAlign w:val="bottom"/>
          </w:tcPr>
          <w:p>
            <w:pPr>
              <w:spacing w:line="0" w:lineRule="atLeast"/>
              <w:rPr>
                <w:sz w:val="23"/>
                <w:lang w:val="sr-Cyrl-RS"/>
              </w:rPr>
            </w:pPr>
          </w:p>
        </w:tc>
      </w:tr>
      <w:tr>
        <w:tblPrEx>
          <w:tblCellMar>
            <w:top w:w="0" w:type="dxa"/>
            <w:left w:w="0" w:type="dxa"/>
            <w:bottom w:w="0" w:type="dxa"/>
            <w:right w:w="0" w:type="dxa"/>
          </w:tblCellMar>
        </w:tblPrEx>
        <w:trPr>
          <w:trHeight w:val="275" w:hRule="atLeast"/>
        </w:trPr>
        <w:tc>
          <w:tcPr>
            <w:tcW w:w="4240" w:type="dxa"/>
            <w:shd w:val="clear" w:color="auto" w:fill="auto"/>
            <w:vAlign w:val="bottom"/>
          </w:tcPr>
          <w:p>
            <w:pPr>
              <w:spacing w:line="0" w:lineRule="atLeast"/>
              <w:rPr>
                <w:rFonts w:ascii="Arial" w:hAnsi="Arial" w:eastAsia="Arial"/>
                <w:b/>
                <w:lang w:val="sr-Cyrl-RS"/>
              </w:rPr>
            </w:pPr>
            <w:r>
              <w:rPr>
                <w:rFonts w:ascii="Arial" w:hAnsi="Arial" w:eastAsia="Arial"/>
                <w:b/>
                <w:lang w:val="sr-Cyrl-RS"/>
              </w:rPr>
              <w:t>БИЦИКЛИСТИЧКИХ И ПЕШАЧКИХ</w:t>
            </w:r>
          </w:p>
        </w:tc>
        <w:tc>
          <w:tcPr>
            <w:tcW w:w="3740" w:type="dxa"/>
            <w:shd w:val="clear" w:color="auto" w:fill="auto"/>
            <w:vAlign w:val="bottom"/>
          </w:tcPr>
          <w:p>
            <w:pPr>
              <w:spacing w:line="0" w:lineRule="atLeast"/>
              <w:rPr>
                <w:sz w:val="23"/>
                <w:lang w:val="sr-Cyrl-RS"/>
              </w:rPr>
            </w:pPr>
          </w:p>
        </w:tc>
      </w:tr>
      <w:tr>
        <w:tblPrEx>
          <w:tblCellMar>
            <w:top w:w="0" w:type="dxa"/>
            <w:left w:w="0" w:type="dxa"/>
            <w:bottom w:w="0" w:type="dxa"/>
            <w:right w:w="0" w:type="dxa"/>
          </w:tblCellMar>
        </w:tblPrEx>
        <w:trPr>
          <w:trHeight w:val="280" w:hRule="atLeast"/>
        </w:trPr>
        <w:tc>
          <w:tcPr>
            <w:tcW w:w="4240" w:type="dxa"/>
            <w:shd w:val="clear" w:color="auto" w:fill="auto"/>
            <w:vAlign w:val="bottom"/>
          </w:tcPr>
          <w:p>
            <w:pPr>
              <w:spacing w:line="0" w:lineRule="atLeast"/>
              <w:rPr>
                <w:rFonts w:ascii="Arial" w:hAnsi="Arial" w:eastAsia="Arial"/>
                <w:b/>
                <w:lang w:val="sr-Cyrl-RS"/>
              </w:rPr>
            </w:pPr>
            <w:r>
              <w:rPr>
                <w:rFonts w:ascii="Arial" w:hAnsi="Arial" w:eastAsia="Arial"/>
                <w:b/>
                <w:lang w:val="sr-Cyrl-RS"/>
              </w:rPr>
              <w:t>СТАЗА</w:t>
            </w:r>
          </w:p>
        </w:tc>
        <w:tc>
          <w:tcPr>
            <w:tcW w:w="3740" w:type="dxa"/>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295" w:hRule="atLeast"/>
        </w:trPr>
        <w:tc>
          <w:tcPr>
            <w:tcW w:w="4240" w:type="dxa"/>
            <w:shd w:val="clear" w:color="auto" w:fill="auto"/>
            <w:vAlign w:val="bottom"/>
          </w:tcPr>
          <w:p>
            <w:pPr>
              <w:spacing w:line="0" w:lineRule="atLeast"/>
              <w:rPr>
                <w:rFonts w:ascii="Arial" w:hAnsi="Arial" w:eastAsia="Arial"/>
                <w:b/>
                <w:lang w:val="sr-Cyrl-RS"/>
              </w:rPr>
            </w:pPr>
            <w:r>
              <w:rPr>
                <w:rFonts w:ascii="Arial" w:hAnsi="Arial" w:eastAsia="Arial"/>
                <w:b/>
                <w:lang w:val="sr-Cyrl-RS"/>
              </w:rPr>
              <w:t>Концепт:</w:t>
            </w:r>
          </w:p>
        </w:tc>
        <w:tc>
          <w:tcPr>
            <w:tcW w:w="3740" w:type="dxa"/>
            <w:shd w:val="clear" w:color="auto" w:fill="auto"/>
            <w:vAlign w:val="bottom"/>
          </w:tcPr>
          <w:p>
            <w:pPr>
              <w:spacing w:line="0" w:lineRule="atLeast"/>
              <w:ind w:left="220"/>
              <w:rPr>
                <w:rFonts w:ascii="Arial" w:hAnsi="Arial" w:eastAsia="Arial"/>
                <w:lang w:val="sr-Cyrl-RS"/>
              </w:rPr>
            </w:pPr>
            <w:r>
              <w:rPr>
                <w:rFonts w:ascii="Arial" w:hAnsi="Arial" w:eastAsia="Arial"/>
                <w:lang w:val="sr-Cyrl-RS"/>
              </w:rPr>
              <w:t>Циљ овог пројекта је развој</w:t>
            </w:r>
          </w:p>
        </w:tc>
      </w:tr>
      <w:tr>
        <w:tblPrEx>
          <w:tblCellMar>
            <w:top w:w="0" w:type="dxa"/>
            <w:left w:w="0" w:type="dxa"/>
            <w:bottom w:w="0" w:type="dxa"/>
            <w:right w:w="0" w:type="dxa"/>
          </w:tblCellMar>
        </w:tblPrEx>
        <w:trPr>
          <w:trHeight w:val="275" w:hRule="atLeast"/>
        </w:trPr>
        <w:tc>
          <w:tcPr>
            <w:tcW w:w="4240" w:type="dxa"/>
            <w:shd w:val="clear" w:color="auto" w:fill="auto"/>
            <w:vAlign w:val="bottom"/>
          </w:tcPr>
          <w:p>
            <w:pPr>
              <w:spacing w:line="0" w:lineRule="atLeast"/>
              <w:rPr>
                <w:sz w:val="23"/>
                <w:lang w:val="sr-Cyrl-RS"/>
              </w:rPr>
            </w:pPr>
          </w:p>
        </w:tc>
        <w:tc>
          <w:tcPr>
            <w:tcW w:w="3740" w:type="dxa"/>
            <w:shd w:val="clear" w:color="auto" w:fill="auto"/>
            <w:vAlign w:val="bottom"/>
          </w:tcPr>
          <w:p>
            <w:pPr>
              <w:spacing w:line="0" w:lineRule="atLeast"/>
              <w:ind w:left="220"/>
              <w:rPr>
                <w:rFonts w:ascii="Arial" w:hAnsi="Arial" w:eastAsia="Arial"/>
                <w:w w:val="99"/>
                <w:lang w:val="sr-Cyrl-RS"/>
              </w:rPr>
            </w:pPr>
            <w:r>
              <w:rPr>
                <w:rFonts w:ascii="Arial" w:hAnsi="Arial" w:eastAsia="Arial"/>
                <w:w w:val="99"/>
                <w:lang w:val="sr-Cyrl-RS"/>
              </w:rPr>
              <w:t>туристичког производа активни</w:t>
            </w:r>
          </w:p>
        </w:tc>
      </w:tr>
    </w:tbl>
    <w:p>
      <w:pPr>
        <w:spacing w:line="20" w:lineRule="exact"/>
        <w:rPr>
          <w:lang w:val="sr-Cyrl-RS"/>
        </w:rPr>
      </w:pPr>
      <w:r>
        <w:rPr>
          <w:rFonts w:ascii="Arial" w:hAnsi="Arial" w:eastAsia="Arial"/>
          <w:w w:val="99"/>
          <w:lang w:eastAsia="en-US"/>
        </w:rPr>
        <w:drawing>
          <wp:anchor distT="0" distB="0" distL="114300" distR="114300" simplePos="0" relativeHeight="251681792" behindDoc="1" locked="0" layoutInCell="1" allowOverlap="1">
            <wp:simplePos x="0" y="0"/>
            <wp:positionH relativeFrom="column">
              <wp:posOffset>635</wp:posOffset>
            </wp:positionH>
            <wp:positionV relativeFrom="paragraph">
              <wp:posOffset>-361315</wp:posOffset>
            </wp:positionV>
            <wp:extent cx="5733415" cy="715010"/>
            <wp:effectExtent l="0" t="0" r="0" b="0"/>
            <wp:wrapNone/>
            <wp:docPr id="176" name="Picture 24" descr="A white surface with a black bord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6" name="Picture 24" descr="A white surface with a black border&#10;&#10;Description automatically generated with medium confidence"/>
                    <pic:cNvPicPr/>
                  </pic:nvPicPr>
                  <pic:blipFill>
                    <a:blip r:embed="rId36" cstate="email"/>
                    <a:srcRect/>
                    <a:stretch>
                      <a:fillRect/>
                    </a:stretch>
                  </pic:blipFill>
                  <pic:spPr>
                    <a:xfrm>
                      <a:off x="0" y="0"/>
                      <a:ext cx="5733415" cy="715010"/>
                    </a:xfrm>
                    <a:prstGeom prst="rect">
                      <a:avLst/>
                    </a:prstGeom>
                    <a:noFill/>
                  </pic:spPr>
                </pic:pic>
              </a:graphicData>
            </a:graphic>
          </wp:anchor>
        </w:drawing>
      </w:r>
    </w:p>
    <w:p>
      <w:pPr>
        <w:spacing w:line="0" w:lineRule="atLeast"/>
        <w:ind w:left="4580"/>
        <w:rPr>
          <w:rFonts w:ascii="Arial" w:hAnsi="Arial" w:eastAsia="Arial"/>
          <w:lang w:val="sr-Cyrl-RS"/>
        </w:rPr>
      </w:pPr>
      <w:r>
        <w:rPr>
          <w:rFonts w:ascii="Arial" w:hAnsi="Arial" w:eastAsia="Arial"/>
          <w:lang w:val="sr-Cyrl-RS"/>
        </w:rPr>
        <w:t>туризам, са акцентом на бициклизам</w:t>
      </w:r>
    </w:p>
    <w:p>
      <w:pPr>
        <w:spacing w:line="238" w:lineRule="auto"/>
        <w:ind w:left="4580"/>
        <w:rPr>
          <w:rFonts w:ascii="Arial" w:hAnsi="Arial" w:eastAsia="Arial"/>
          <w:lang w:val="sr-Cyrl-RS"/>
        </w:rPr>
      </w:pPr>
      <w:r>
        <w:rPr>
          <w:rFonts w:ascii="Arial" w:hAnsi="Arial" w:eastAsia="Arial"/>
          <w:lang w:val="sr-Cyrl-RS"/>
        </w:rPr>
        <w:t>и пешачење и њиховог</w:t>
      </w:r>
    </w:p>
    <w:p>
      <w:pPr>
        <w:spacing w:line="20" w:lineRule="exact"/>
        <w:rPr>
          <w:lang w:val="sr-Cyrl-RS"/>
        </w:rPr>
      </w:pPr>
      <w:r>
        <w:rPr>
          <w:rFonts w:ascii="Arial" w:hAnsi="Arial" w:eastAsia="Arial"/>
          <w:lang w:eastAsia="en-US"/>
        </w:rPr>
        <mc:AlternateContent>
          <mc:Choice Requires="wps">
            <w:drawing>
              <wp:anchor distT="0" distB="0" distL="114300" distR="114300" simplePos="0" relativeHeight="251682816" behindDoc="1" locked="0" layoutInCell="1" allowOverlap="1">
                <wp:simplePos x="0" y="0"/>
                <wp:positionH relativeFrom="column">
                  <wp:posOffset>-8890</wp:posOffset>
                </wp:positionH>
                <wp:positionV relativeFrom="paragraph">
                  <wp:posOffset>9525</wp:posOffset>
                </wp:positionV>
                <wp:extent cx="5742305" cy="0"/>
                <wp:effectExtent l="0" t="0" r="0" b="0"/>
                <wp:wrapNone/>
                <wp:docPr id="445167170" name="Line 177"/>
                <wp:cNvGraphicFramePr/>
                <a:graphic xmlns:a="http://schemas.openxmlformats.org/drawingml/2006/main">
                  <a:graphicData uri="http://schemas.microsoft.com/office/word/2010/wordprocessingShape">
                    <wps:wsp>
                      <wps:cNvCnPr/>
                      <wps:spPr bwMode="auto">
                        <a:xfrm>
                          <a:off x="0" y="0"/>
                          <a:ext cx="5742305" cy="0"/>
                        </a:xfrm>
                        <a:prstGeom prst="line">
                          <a:avLst/>
                        </a:prstGeom>
                        <a:noFill/>
                        <a:ln w="12700">
                          <a:solidFill>
                            <a:srgbClr val="969696"/>
                          </a:solidFill>
                          <a:round/>
                        </a:ln>
                      </wps:spPr>
                      <wps:bodyPr/>
                    </wps:wsp>
                  </a:graphicData>
                </a:graphic>
              </wp:anchor>
            </w:drawing>
          </mc:Choice>
          <mc:Fallback>
            <w:pict>
              <v:line id="Line 177" o:spid="_x0000_s1026" o:spt="20" style="position:absolute;left:0pt;margin-left:-0.7pt;margin-top:0.75pt;height:0pt;width:452.15pt;z-index:-251633664;mso-width-relative:page;mso-height-relative:page;" filled="f" stroked="t" coordsize="21600,21600" o:gfxdata="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yADMdQAAAAGAQAADwAAAAAAAAABACAAAAAiAAAAZHJzL2Rvd25yZXYueG1sUEsBAhQAFAAA&#10;AAgAh07iQIMqzki6AQAAeAMAAA4AAAAAAAAAAQAgAAAAIwEAAGRycy9lMm9Eb2MueG1sUEsFBgAA&#10;AAAGAAYAWQEAAE8FAAAAAA==&#10;">
                <v:fill on="f" focussize="0,0"/>
                <v:stroke weight="1pt" color="#969696" joinstyle="round"/>
                <v:imagedata o:title=""/>
                <o:lock v:ext="edit" aspectratio="f"/>
              </v:line>
            </w:pict>
          </mc:Fallback>
        </mc:AlternateContent>
      </w:r>
    </w:p>
    <w:p>
      <w:pPr>
        <w:spacing w:line="200" w:lineRule="exact"/>
        <w:rPr>
          <w:lang w:val="sr-Cyrl-RS"/>
        </w:rPr>
      </w:pPr>
    </w:p>
    <w:p>
      <w:pPr>
        <w:spacing w:line="285" w:lineRule="exact"/>
        <w:rPr>
          <w:lang w:val="sr-Cyrl-RS"/>
        </w:rPr>
      </w:pPr>
    </w:p>
    <w:p>
      <w:pPr>
        <w:spacing w:line="0" w:lineRule="atLeast"/>
        <w:ind w:right="20"/>
        <w:jc w:val="right"/>
        <w:rPr>
          <w:lang w:val="sr-Cyrl-RS"/>
        </w:rPr>
        <w:sectPr>
          <w:type w:val="continuous"/>
          <w:pgSz w:w="11900" w:h="16840"/>
          <w:pgMar w:top="707" w:right="1425" w:bottom="551" w:left="1440" w:header="0" w:footer="0" w:gutter="0"/>
          <w:cols w:equalWidth="0" w:num="1">
            <w:col w:w="9040"/>
          </w:cols>
          <w:docGrid w:linePitch="360" w:charSpace="0"/>
        </w:sectPr>
      </w:pPr>
    </w:p>
    <w:p>
      <w:pPr>
        <w:spacing w:line="283" w:lineRule="exact"/>
        <w:rPr>
          <w:lang w:val="sr-Cyrl-RS"/>
        </w:rPr>
      </w:pPr>
      <w:bookmarkStart w:id="94" w:name="page86"/>
      <w:bookmarkEnd w:id="94"/>
    </w:p>
    <w:tbl>
      <w:tblPr>
        <w:tblStyle w:val="6"/>
        <w:tblW w:w="0" w:type="auto"/>
        <w:tblInd w:w="0" w:type="dxa"/>
        <w:tblLayout w:type="fixed"/>
        <w:tblCellMar>
          <w:top w:w="0" w:type="dxa"/>
          <w:left w:w="0" w:type="dxa"/>
          <w:bottom w:w="0" w:type="dxa"/>
          <w:right w:w="0" w:type="dxa"/>
        </w:tblCellMar>
      </w:tblPr>
      <w:tblGrid>
        <w:gridCol w:w="20"/>
        <w:gridCol w:w="4530"/>
        <w:gridCol w:w="4510"/>
      </w:tblGrid>
      <w:tr>
        <w:tblPrEx>
          <w:tblCellMar>
            <w:top w:w="0" w:type="dxa"/>
            <w:left w:w="0" w:type="dxa"/>
            <w:bottom w:w="0" w:type="dxa"/>
            <w:right w:w="0" w:type="dxa"/>
          </w:tblCellMar>
        </w:tblPrEx>
        <w:trPr>
          <w:trHeight w:val="295" w:hRule="atLeast"/>
        </w:trPr>
        <w:tc>
          <w:tcPr>
            <w:tcW w:w="20" w:type="dxa"/>
            <w:shd w:val="clear" w:color="auto" w:fill="auto"/>
            <w:vAlign w:val="bottom"/>
          </w:tcPr>
          <w:p>
            <w:pPr>
              <w:spacing w:line="0" w:lineRule="atLeast"/>
              <w:rPr>
                <w:lang w:val="sr-Cyrl-RS"/>
              </w:rPr>
            </w:pPr>
          </w:p>
        </w:tc>
        <w:tc>
          <w:tcPr>
            <w:tcW w:w="4530" w:type="dxa"/>
            <w:tcBorders>
              <w:top w:val="single" w:color="969696" w:sz="8" w:space="0"/>
            </w:tcBorders>
            <w:shd w:val="clear" w:color="auto" w:fill="E5E5E5"/>
            <w:vAlign w:val="bottom"/>
          </w:tcPr>
          <w:p>
            <w:pPr>
              <w:spacing w:line="0" w:lineRule="atLeast"/>
              <w:rPr>
                <w:lang w:val="sr-Cyrl-RS"/>
              </w:rPr>
            </w:pPr>
          </w:p>
        </w:tc>
        <w:tc>
          <w:tcPr>
            <w:tcW w:w="4510" w:type="dxa"/>
            <w:tcBorders>
              <w:top w:val="single" w:color="969696" w:sz="8" w:space="0"/>
            </w:tcBorders>
            <w:shd w:val="clear" w:color="auto" w:fill="E5E5E5"/>
            <w:vAlign w:val="bottom"/>
          </w:tcPr>
          <w:p>
            <w:pPr>
              <w:spacing w:line="0" w:lineRule="atLeast"/>
              <w:ind w:left="50"/>
              <w:rPr>
                <w:rFonts w:ascii="Arial" w:hAnsi="Arial" w:eastAsia="Arial"/>
                <w:lang w:val="sr-Cyrl-RS"/>
              </w:rPr>
            </w:pPr>
            <w:r>
              <w:rPr>
                <w:rFonts w:ascii="Arial" w:hAnsi="Arial" w:eastAsia="Arial"/>
                <w:lang w:val="sr-Cyrl-RS"/>
              </w:rPr>
              <w:t>позиционирања као кључних</w:t>
            </w:r>
          </w:p>
        </w:tc>
      </w:tr>
      <w:tr>
        <w:tblPrEx>
          <w:tblCellMar>
            <w:top w:w="0" w:type="dxa"/>
            <w:left w:w="0" w:type="dxa"/>
            <w:bottom w:w="0" w:type="dxa"/>
            <w:right w:w="0" w:type="dxa"/>
          </w:tblCellMar>
        </w:tblPrEx>
        <w:trPr>
          <w:trHeight w:val="275" w:hRule="atLeast"/>
        </w:trPr>
        <w:tc>
          <w:tcPr>
            <w:tcW w:w="20" w:type="dxa"/>
            <w:shd w:val="clear" w:color="auto" w:fill="auto"/>
            <w:vAlign w:val="bottom"/>
          </w:tcPr>
          <w:p>
            <w:pPr>
              <w:spacing w:line="0" w:lineRule="atLeast"/>
              <w:rPr>
                <w:sz w:val="23"/>
                <w:lang w:val="sr-Cyrl-RS"/>
              </w:rPr>
            </w:pPr>
          </w:p>
        </w:tc>
        <w:tc>
          <w:tcPr>
            <w:tcW w:w="4530" w:type="dxa"/>
            <w:shd w:val="clear" w:color="auto" w:fill="E5E5E5"/>
            <w:vAlign w:val="bottom"/>
          </w:tcPr>
          <w:p>
            <w:pPr>
              <w:spacing w:line="0" w:lineRule="atLeast"/>
              <w:rPr>
                <w:sz w:val="23"/>
                <w:lang w:val="sr-Cyrl-RS"/>
              </w:rPr>
            </w:pPr>
          </w:p>
        </w:tc>
        <w:tc>
          <w:tcPr>
            <w:tcW w:w="4510" w:type="dxa"/>
            <w:shd w:val="clear" w:color="auto" w:fill="E5E5E5"/>
            <w:vAlign w:val="bottom"/>
          </w:tcPr>
          <w:p>
            <w:pPr>
              <w:spacing w:line="0" w:lineRule="atLeast"/>
              <w:ind w:left="50"/>
              <w:rPr>
                <w:rFonts w:ascii="Arial" w:hAnsi="Arial" w:eastAsia="Arial"/>
                <w:lang w:val="sr-Cyrl-RS"/>
              </w:rPr>
            </w:pPr>
            <w:r>
              <w:rPr>
                <w:rFonts w:ascii="Arial" w:hAnsi="Arial" w:eastAsia="Arial"/>
                <w:lang w:val="sr-Cyrl-RS"/>
              </w:rPr>
              <w:t>активности приликом посете.</w:t>
            </w:r>
          </w:p>
        </w:tc>
      </w:tr>
      <w:tr>
        <w:tblPrEx>
          <w:tblCellMar>
            <w:top w:w="0" w:type="dxa"/>
            <w:left w:w="0" w:type="dxa"/>
            <w:bottom w:w="0" w:type="dxa"/>
            <w:right w:w="0" w:type="dxa"/>
          </w:tblCellMar>
        </w:tblPrEx>
        <w:trPr>
          <w:trHeight w:val="280" w:hRule="atLeast"/>
        </w:trPr>
        <w:tc>
          <w:tcPr>
            <w:tcW w:w="20" w:type="dxa"/>
            <w:shd w:val="clear" w:color="auto" w:fill="auto"/>
            <w:vAlign w:val="bottom"/>
          </w:tcPr>
          <w:p>
            <w:pPr>
              <w:spacing w:line="0" w:lineRule="atLeast"/>
              <w:rPr>
                <w:lang w:val="sr-Cyrl-RS"/>
              </w:rPr>
            </w:pPr>
          </w:p>
        </w:tc>
        <w:tc>
          <w:tcPr>
            <w:tcW w:w="4530" w:type="dxa"/>
            <w:shd w:val="clear" w:color="auto" w:fill="E5E5E5"/>
            <w:vAlign w:val="bottom"/>
          </w:tcPr>
          <w:p>
            <w:pPr>
              <w:spacing w:line="0" w:lineRule="atLeast"/>
              <w:rPr>
                <w:lang w:val="sr-Cyrl-RS"/>
              </w:rPr>
            </w:pPr>
          </w:p>
        </w:tc>
        <w:tc>
          <w:tcPr>
            <w:tcW w:w="4510" w:type="dxa"/>
            <w:shd w:val="clear" w:color="auto" w:fill="E5E5E5"/>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20" w:type="dxa"/>
            <w:shd w:val="clear" w:color="auto" w:fill="auto"/>
            <w:vAlign w:val="bottom"/>
          </w:tcPr>
          <w:p>
            <w:pPr>
              <w:spacing w:line="0" w:lineRule="atLeast"/>
              <w:rPr>
                <w:sz w:val="23"/>
                <w:lang w:val="sr-Cyrl-RS"/>
              </w:rPr>
            </w:pPr>
          </w:p>
        </w:tc>
        <w:tc>
          <w:tcPr>
            <w:tcW w:w="4530" w:type="dxa"/>
            <w:shd w:val="clear" w:color="auto" w:fill="auto"/>
            <w:vAlign w:val="bottom"/>
          </w:tcPr>
          <w:p>
            <w:pPr>
              <w:spacing w:line="0" w:lineRule="atLeast"/>
              <w:ind w:left="120"/>
              <w:rPr>
                <w:rFonts w:ascii="Arial" w:hAnsi="Arial" w:eastAsia="Arial"/>
                <w:b/>
                <w:lang w:val="sr-Cyrl-RS"/>
              </w:rPr>
            </w:pPr>
            <w:r>
              <w:rPr>
                <w:rFonts w:ascii="Arial" w:hAnsi="Arial" w:eastAsia="Arial"/>
                <w:b/>
                <w:lang w:val="sr-Cyrl-RS"/>
              </w:rPr>
              <w:t>Извор финансирања</w:t>
            </w:r>
          </w:p>
        </w:tc>
        <w:tc>
          <w:tcPr>
            <w:tcW w:w="4510" w:type="dxa"/>
            <w:shd w:val="clear" w:color="auto" w:fill="auto"/>
            <w:vAlign w:val="bottom"/>
          </w:tcPr>
          <w:p>
            <w:pPr>
              <w:spacing w:line="0" w:lineRule="atLeast"/>
              <w:ind w:left="50"/>
              <w:rPr>
                <w:rFonts w:ascii="Arial" w:hAnsi="Arial" w:eastAsia="Arial"/>
                <w:lang w:val="sr-Cyrl-RS"/>
              </w:rPr>
            </w:pPr>
            <w:r>
              <w:rPr>
                <w:rFonts w:ascii="Arial" w:hAnsi="Arial" w:eastAsia="Arial"/>
                <w:lang w:val="sr-Cyrl-RS"/>
              </w:rPr>
              <w:t>Јавно-приватно; ЕУ фондови</w:t>
            </w:r>
          </w:p>
        </w:tc>
      </w:tr>
      <w:tr>
        <w:tblPrEx>
          <w:tblCellMar>
            <w:top w:w="0" w:type="dxa"/>
            <w:left w:w="0" w:type="dxa"/>
            <w:bottom w:w="0" w:type="dxa"/>
            <w:right w:w="0" w:type="dxa"/>
          </w:tblCellMar>
        </w:tblPrEx>
        <w:trPr>
          <w:trHeight w:val="275" w:hRule="atLeast"/>
        </w:trPr>
        <w:tc>
          <w:tcPr>
            <w:tcW w:w="20" w:type="dxa"/>
            <w:shd w:val="clear" w:color="auto" w:fill="auto"/>
            <w:vAlign w:val="bottom"/>
          </w:tcPr>
          <w:p>
            <w:pPr>
              <w:spacing w:line="0" w:lineRule="atLeast"/>
              <w:rPr>
                <w:sz w:val="23"/>
                <w:lang w:val="sr-Cyrl-RS"/>
              </w:rPr>
            </w:pPr>
          </w:p>
        </w:tc>
        <w:tc>
          <w:tcPr>
            <w:tcW w:w="4530" w:type="dxa"/>
            <w:shd w:val="clear" w:color="auto" w:fill="E5E5E5"/>
            <w:vAlign w:val="bottom"/>
          </w:tcPr>
          <w:p>
            <w:pPr>
              <w:spacing w:line="0" w:lineRule="atLeast"/>
              <w:ind w:left="120"/>
              <w:rPr>
                <w:rFonts w:ascii="Arial" w:hAnsi="Arial" w:eastAsia="Arial"/>
                <w:b/>
                <w:lang w:val="sr-Cyrl-RS"/>
              </w:rPr>
            </w:pPr>
            <w:r>
              <w:rPr>
                <w:rFonts w:ascii="Arial" w:hAnsi="Arial" w:eastAsia="Arial"/>
                <w:b/>
                <w:lang w:val="sr-Cyrl-RS"/>
              </w:rPr>
              <w:t>Временски приоритет</w:t>
            </w:r>
          </w:p>
        </w:tc>
        <w:tc>
          <w:tcPr>
            <w:tcW w:w="4510" w:type="dxa"/>
            <w:shd w:val="clear" w:color="auto" w:fill="E5E5E5"/>
            <w:vAlign w:val="bottom"/>
          </w:tcPr>
          <w:p>
            <w:pPr>
              <w:spacing w:line="0" w:lineRule="atLeast"/>
              <w:ind w:left="50"/>
              <w:rPr>
                <w:rFonts w:ascii="Arial" w:hAnsi="Arial" w:eastAsia="Arial"/>
                <w:lang w:val="sr-Cyrl-RS"/>
              </w:rPr>
            </w:pPr>
            <w:r>
              <w:rPr>
                <w:rFonts w:ascii="Arial" w:hAnsi="Arial" w:eastAsia="Arial"/>
                <w:lang w:val="sr-Cyrl-RS"/>
              </w:rPr>
              <w:t>2 године</w:t>
            </w:r>
          </w:p>
        </w:tc>
      </w:tr>
      <w:tr>
        <w:tblPrEx>
          <w:tblCellMar>
            <w:top w:w="0" w:type="dxa"/>
            <w:left w:w="0" w:type="dxa"/>
            <w:bottom w:w="0" w:type="dxa"/>
            <w:right w:w="0" w:type="dxa"/>
          </w:tblCellMar>
        </w:tblPrEx>
        <w:trPr>
          <w:trHeight w:val="275" w:hRule="atLeast"/>
        </w:trPr>
        <w:tc>
          <w:tcPr>
            <w:tcW w:w="20" w:type="dxa"/>
            <w:tcBorders>
              <w:bottom w:val="single" w:color="969696" w:sz="8" w:space="0"/>
            </w:tcBorders>
            <w:shd w:val="clear" w:color="auto" w:fill="auto"/>
            <w:vAlign w:val="bottom"/>
          </w:tcPr>
          <w:p>
            <w:pPr>
              <w:spacing w:line="0" w:lineRule="atLeast"/>
              <w:rPr>
                <w:sz w:val="23"/>
                <w:lang w:val="sr-Cyrl-RS"/>
              </w:rPr>
            </w:pPr>
          </w:p>
        </w:tc>
        <w:tc>
          <w:tcPr>
            <w:tcW w:w="4530" w:type="dxa"/>
            <w:tcBorders>
              <w:bottom w:val="single" w:color="969696" w:sz="8" w:space="0"/>
            </w:tcBorders>
            <w:shd w:val="clear" w:color="auto" w:fill="auto"/>
            <w:vAlign w:val="bottom"/>
          </w:tcPr>
          <w:p>
            <w:pPr>
              <w:spacing w:line="0" w:lineRule="atLeast"/>
              <w:ind w:left="120"/>
              <w:rPr>
                <w:rFonts w:ascii="Arial" w:hAnsi="Arial" w:eastAsia="Arial"/>
                <w:b/>
                <w:lang w:val="sr-Cyrl-RS"/>
              </w:rPr>
            </w:pPr>
            <w:r>
              <w:rPr>
                <w:rFonts w:ascii="Arial" w:hAnsi="Arial" w:eastAsia="Arial"/>
                <w:b/>
                <w:lang w:val="sr-Cyrl-RS"/>
              </w:rPr>
              <w:t>Ниво приоритета</w:t>
            </w:r>
          </w:p>
        </w:tc>
        <w:tc>
          <w:tcPr>
            <w:tcW w:w="4510" w:type="dxa"/>
            <w:tcBorders>
              <w:bottom w:val="single" w:color="969696" w:sz="8" w:space="0"/>
            </w:tcBorders>
            <w:shd w:val="clear" w:color="auto" w:fill="auto"/>
            <w:vAlign w:val="bottom"/>
          </w:tcPr>
          <w:p>
            <w:pPr>
              <w:spacing w:line="0" w:lineRule="atLeast"/>
              <w:ind w:left="50"/>
              <w:rPr>
                <w:rFonts w:ascii="Arial" w:hAnsi="Arial" w:eastAsia="Arial"/>
                <w:lang w:val="sr-Cyrl-RS"/>
              </w:rPr>
            </w:pPr>
            <w:r>
              <w:rPr>
                <w:rFonts w:ascii="Arial" w:hAnsi="Arial" w:eastAsia="Arial"/>
                <w:lang w:val="sr-Cyrl-RS"/>
              </w:rPr>
              <w:t>Висок</w:t>
            </w:r>
          </w:p>
        </w:tc>
      </w:tr>
    </w:tbl>
    <w:p>
      <w:pPr>
        <w:spacing w:line="200" w:lineRule="exact"/>
        <w:rPr>
          <w:lang w:val="sr-Cyrl-RS"/>
        </w:rPr>
      </w:pPr>
    </w:p>
    <w:p>
      <w:pPr>
        <w:spacing w:line="200" w:lineRule="exact"/>
        <w:rPr>
          <w:lang w:val="sr-Cyrl-RS"/>
        </w:rPr>
      </w:pPr>
    </w:p>
    <w:p>
      <w:pPr>
        <w:spacing w:line="200" w:lineRule="exact"/>
        <w:rPr>
          <w:lang w:val="sr-Cyrl-RS"/>
        </w:rPr>
      </w:pPr>
    </w:p>
    <w:p>
      <w:pPr>
        <w:spacing w:line="210" w:lineRule="exact"/>
        <w:rPr>
          <w:lang w:val="sr-Cyrl-RS"/>
        </w:rPr>
      </w:pPr>
    </w:p>
    <w:tbl>
      <w:tblPr>
        <w:tblStyle w:val="6"/>
        <w:tblW w:w="0" w:type="auto"/>
        <w:tblInd w:w="0" w:type="dxa"/>
        <w:tblLayout w:type="fixed"/>
        <w:tblCellMar>
          <w:top w:w="0" w:type="dxa"/>
          <w:left w:w="0" w:type="dxa"/>
          <w:bottom w:w="0" w:type="dxa"/>
          <w:right w:w="0" w:type="dxa"/>
        </w:tblCellMar>
      </w:tblPr>
      <w:tblGrid>
        <w:gridCol w:w="20"/>
        <w:gridCol w:w="4440"/>
        <w:gridCol w:w="2820"/>
        <w:gridCol w:w="1780"/>
      </w:tblGrid>
      <w:tr>
        <w:tblPrEx>
          <w:tblCellMar>
            <w:top w:w="0" w:type="dxa"/>
            <w:left w:w="0" w:type="dxa"/>
            <w:bottom w:w="0" w:type="dxa"/>
            <w:right w:w="0" w:type="dxa"/>
          </w:tblCellMar>
        </w:tblPrEx>
        <w:trPr>
          <w:trHeight w:val="295" w:hRule="atLeast"/>
        </w:trPr>
        <w:tc>
          <w:tcPr>
            <w:tcW w:w="20" w:type="dxa"/>
            <w:shd w:val="clear" w:color="auto" w:fill="auto"/>
            <w:vAlign w:val="bottom"/>
          </w:tcPr>
          <w:p>
            <w:pPr>
              <w:spacing w:line="0" w:lineRule="atLeast"/>
              <w:rPr>
                <w:lang w:val="sr-Cyrl-RS"/>
              </w:rPr>
            </w:pPr>
          </w:p>
        </w:tc>
        <w:tc>
          <w:tcPr>
            <w:tcW w:w="4440" w:type="dxa"/>
            <w:tcBorders>
              <w:top w:val="single" w:color="B2B2B2" w:sz="8" w:space="0"/>
            </w:tcBorders>
            <w:shd w:val="clear" w:color="auto" w:fill="auto"/>
            <w:vAlign w:val="bottom"/>
          </w:tcPr>
          <w:p>
            <w:pPr>
              <w:spacing w:line="0" w:lineRule="atLeast"/>
              <w:ind w:left="120"/>
              <w:rPr>
                <w:rFonts w:ascii="Arial" w:hAnsi="Arial" w:eastAsia="Arial"/>
                <w:b/>
                <w:lang w:val="sr-Cyrl-RS"/>
              </w:rPr>
            </w:pPr>
            <w:r>
              <w:rPr>
                <w:rFonts w:ascii="Arial" w:hAnsi="Arial" w:eastAsia="Arial"/>
                <w:b/>
                <w:lang w:val="sr-Cyrl-RS"/>
              </w:rPr>
              <w:t>3 .ИЗРАДА И УРЕЂЕЊЕ КАМПА</w:t>
            </w:r>
          </w:p>
        </w:tc>
        <w:tc>
          <w:tcPr>
            <w:tcW w:w="2820" w:type="dxa"/>
            <w:shd w:val="clear" w:color="auto" w:fill="auto"/>
            <w:vAlign w:val="bottom"/>
          </w:tcPr>
          <w:p>
            <w:pPr>
              <w:spacing w:line="0" w:lineRule="atLeast"/>
              <w:rPr>
                <w:lang w:val="sr-Cyrl-RS"/>
              </w:rPr>
            </w:pPr>
          </w:p>
        </w:tc>
        <w:tc>
          <w:tcPr>
            <w:tcW w:w="1780" w:type="dxa"/>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276" w:hRule="atLeast"/>
        </w:trPr>
        <w:tc>
          <w:tcPr>
            <w:tcW w:w="20" w:type="dxa"/>
            <w:shd w:val="clear" w:color="auto" w:fill="auto"/>
            <w:vAlign w:val="bottom"/>
          </w:tcPr>
          <w:p>
            <w:pPr>
              <w:spacing w:line="0" w:lineRule="atLeast"/>
              <w:rPr>
                <w:sz w:val="23"/>
                <w:lang w:val="sr-Cyrl-RS"/>
              </w:rPr>
            </w:pPr>
          </w:p>
        </w:tc>
        <w:tc>
          <w:tcPr>
            <w:tcW w:w="4440" w:type="dxa"/>
            <w:tcBorders>
              <w:bottom w:val="single" w:color="B2B2B2" w:sz="8" w:space="0"/>
            </w:tcBorders>
            <w:shd w:val="clear" w:color="auto" w:fill="auto"/>
            <w:vAlign w:val="bottom"/>
          </w:tcPr>
          <w:p>
            <w:pPr>
              <w:spacing w:line="0" w:lineRule="atLeast"/>
              <w:rPr>
                <w:sz w:val="23"/>
                <w:lang w:val="sr-Cyrl-RS"/>
              </w:rPr>
            </w:pPr>
          </w:p>
        </w:tc>
        <w:tc>
          <w:tcPr>
            <w:tcW w:w="4580" w:type="dxa"/>
            <w:gridSpan w:val="2"/>
            <w:tcBorders>
              <w:bottom w:val="single" w:color="EBEBEB" w:sz="8" w:space="0"/>
            </w:tcBorders>
            <w:shd w:val="clear" w:color="auto" w:fill="auto"/>
            <w:vAlign w:val="bottom"/>
          </w:tcPr>
          <w:p>
            <w:pPr>
              <w:spacing w:line="0" w:lineRule="atLeast"/>
              <w:rPr>
                <w:sz w:val="23"/>
                <w:lang w:val="sr-Cyrl-RS"/>
              </w:rPr>
            </w:pPr>
          </w:p>
        </w:tc>
      </w:tr>
      <w:tr>
        <w:tblPrEx>
          <w:tblCellMar>
            <w:top w:w="0" w:type="dxa"/>
            <w:left w:w="0" w:type="dxa"/>
            <w:bottom w:w="0" w:type="dxa"/>
            <w:right w:w="0" w:type="dxa"/>
          </w:tblCellMar>
        </w:tblPrEx>
        <w:trPr>
          <w:trHeight w:val="275" w:hRule="atLeast"/>
        </w:trPr>
        <w:tc>
          <w:tcPr>
            <w:tcW w:w="20" w:type="dxa"/>
            <w:shd w:val="clear" w:color="auto" w:fill="auto"/>
            <w:vAlign w:val="bottom"/>
          </w:tcPr>
          <w:p>
            <w:pPr>
              <w:spacing w:line="0" w:lineRule="atLeast"/>
              <w:rPr>
                <w:sz w:val="23"/>
                <w:lang w:val="sr-Cyrl-RS"/>
              </w:rPr>
            </w:pPr>
          </w:p>
        </w:tc>
        <w:tc>
          <w:tcPr>
            <w:tcW w:w="4440" w:type="dxa"/>
            <w:shd w:val="clear" w:color="auto" w:fill="EBEBEB"/>
            <w:vAlign w:val="bottom"/>
          </w:tcPr>
          <w:p>
            <w:pPr>
              <w:spacing w:line="0" w:lineRule="atLeast"/>
              <w:ind w:left="120"/>
              <w:rPr>
                <w:rFonts w:ascii="Arial" w:hAnsi="Arial" w:eastAsia="Arial"/>
                <w:b/>
                <w:lang w:val="sr-Cyrl-RS"/>
              </w:rPr>
            </w:pPr>
            <w:r>
              <w:rPr>
                <w:rFonts w:ascii="Arial" w:hAnsi="Arial" w:eastAsia="Arial"/>
                <w:b/>
                <w:lang w:val="sr-Cyrl-RS"/>
              </w:rPr>
              <w:t>Концепт:</w:t>
            </w:r>
          </w:p>
        </w:tc>
        <w:tc>
          <w:tcPr>
            <w:tcW w:w="4580" w:type="dxa"/>
            <w:gridSpan w:val="2"/>
            <w:shd w:val="clear" w:color="auto" w:fill="EBEBEB"/>
            <w:vAlign w:val="bottom"/>
          </w:tcPr>
          <w:p>
            <w:pPr>
              <w:spacing w:line="0" w:lineRule="atLeast"/>
              <w:ind w:left="120"/>
              <w:rPr>
                <w:rFonts w:ascii="Arial" w:hAnsi="Arial" w:eastAsia="Arial"/>
                <w:lang w:val="sr-Cyrl-RS"/>
              </w:rPr>
            </w:pPr>
            <w:r>
              <w:rPr>
                <w:rFonts w:ascii="Arial" w:hAnsi="Arial" w:eastAsia="Arial"/>
                <w:lang w:val="sr-Cyrl-RS"/>
              </w:rPr>
              <w:t>Циљ овог пројекта је развој</w:t>
            </w:r>
          </w:p>
        </w:tc>
      </w:tr>
      <w:tr>
        <w:tblPrEx>
          <w:tblCellMar>
            <w:top w:w="0" w:type="dxa"/>
            <w:left w:w="0" w:type="dxa"/>
            <w:bottom w:w="0" w:type="dxa"/>
            <w:right w:w="0" w:type="dxa"/>
          </w:tblCellMar>
        </w:tblPrEx>
        <w:trPr>
          <w:trHeight w:val="280"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4580" w:type="dxa"/>
            <w:gridSpan w:val="2"/>
            <w:shd w:val="clear" w:color="auto" w:fill="EBEBEB"/>
            <w:vAlign w:val="bottom"/>
          </w:tcPr>
          <w:p>
            <w:pPr>
              <w:spacing w:line="0" w:lineRule="atLeast"/>
              <w:ind w:left="120"/>
              <w:rPr>
                <w:rFonts w:ascii="Arial" w:hAnsi="Arial" w:eastAsia="Arial"/>
                <w:w w:val="98"/>
                <w:lang w:val="sr-Cyrl-RS"/>
              </w:rPr>
            </w:pPr>
            <w:r>
              <w:rPr>
                <w:rFonts w:ascii="Arial" w:hAnsi="Arial" w:eastAsia="Arial"/>
                <w:w w:val="98"/>
                <w:lang w:val="sr-Cyrl-RS"/>
              </w:rPr>
              <w:t>туристичког/транзитног кампа за</w:t>
            </w:r>
          </w:p>
        </w:tc>
      </w:tr>
      <w:tr>
        <w:tblPrEx>
          <w:tblCellMar>
            <w:top w:w="0" w:type="dxa"/>
            <w:left w:w="0" w:type="dxa"/>
            <w:bottom w:w="0" w:type="dxa"/>
            <w:right w:w="0" w:type="dxa"/>
          </w:tblCellMar>
        </w:tblPrEx>
        <w:trPr>
          <w:trHeight w:val="355"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4580" w:type="dxa"/>
            <w:gridSpan w:val="2"/>
            <w:shd w:val="clear" w:color="auto" w:fill="EBEBEB"/>
            <w:vAlign w:val="bottom"/>
          </w:tcPr>
          <w:p>
            <w:pPr>
              <w:spacing w:line="0" w:lineRule="atLeast"/>
              <w:ind w:left="120"/>
              <w:rPr>
                <w:rFonts w:ascii="Arial" w:hAnsi="Arial" w:eastAsia="Arial"/>
                <w:shd w:val="clear" w:color="auto" w:fill="EBEBEB"/>
                <w:lang w:val="sr-Cyrl-RS"/>
              </w:rPr>
            </w:pPr>
            <w:r>
              <w:rPr>
                <w:rFonts w:ascii="Arial" w:hAnsi="Arial" w:eastAsia="Arial"/>
                <w:shd w:val="clear" w:color="auto" w:fill="EBEBEB"/>
                <w:lang w:val="sr-Cyrl-RS"/>
              </w:rPr>
              <w:t>смештај свих врста кампинг возила и</w:t>
            </w:r>
          </w:p>
        </w:tc>
      </w:tr>
      <w:tr>
        <w:tblPrEx>
          <w:tblCellMar>
            <w:top w:w="0" w:type="dxa"/>
            <w:left w:w="0" w:type="dxa"/>
            <w:bottom w:w="0" w:type="dxa"/>
            <w:right w:w="0" w:type="dxa"/>
          </w:tblCellMar>
        </w:tblPrEx>
        <w:trPr>
          <w:trHeight w:val="320"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2820" w:type="dxa"/>
            <w:shd w:val="clear" w:color="auto" w:fill="EBEBEB"/>
            <w:vAlign w:val="bottom"/>
          </w:tcPr>
          <w:p>
            <w:pPr>
              <w:spacing w:line="0" w:lineRule="atLeast"/>
              <w:ind w:left="120"/>
              <w:rPr>
                <w:rFonts w:ascii="Arial" w:hAnsi="Arial" w:eastAsia="Arial"/>
                <w:lang w:val="sr-Cyrl-RS"/>
              </w:rPr>
            </w:pPr>
            <w:r>
              <w:rPr>
                <w:rFonts w:ascii="Arial" w:hAnsi="Arial" w:eastAsia="Arial"/>
                <w:lang w:val="sr-Cyrl-RS"/>
              </w:rPr>
              <w:t>опреме.</w:t>
            </w:r>
          </w:p>
        </w:tc>
        <w:tc>
          <w:tcPr>
            <w:tcW w:w="1780" w:type="dxa"/>
            <w:shd w:val="clear" w:color="auto" w:fill="EBEBEB"/>
            <w:vAlign w:val="bottom"/>
          </w:tcPr>
          <w:p>
            <w:pPr>
              <w:spacing w:line="0" w:lineRule="atLeast"/>
              <w:rPr>
                <w:lang w:val="sr-Cyrl-RS"/>
              </w:rPr>
            </w:pPr>
          </w:p>
        </w:tc>
      </w:tr>
      <w:tr>
        <w:tblPrEx>
          <w:tblCellMar>
            <w:top w:w="0" w:type="dxa"/>
            <w:left w:w="0" w:type="dxa"/>
            <w:bottom w:w="0" w:type="dxa"/>
            <w:right w:w="0" w:type="dxa"/>
          </w:tblCellMar>
        </w:tblPrEx>
        <w:trPr>
          <w:trHeight w:val="516"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2820" w:type="dxa"/>
            <w:shd w:val="clear" w:color="auto" w:fill="EBEBEB"/>
            <w:vAlign w:val="bottom"/>
          </w:tcPr>
          <w:p>
            <w:pPr>
              <w:spacing w:line="0" w:lineRule="atLeast"/>
              <w:ind w:left="120"/>
              <w:rPr>
                <w:rFonts w:ascii="Arial" w:hAnsi="Arial" w:eastAsia="Arial"/>
                <w:w w:val="98"/>
                <w:lang w:val="sr-Cyrl-RS"/>
              </w:rPr>
            </w:pPr>
            <w:r>
              <w:rPr>
                <w:rFonts w:ascii="Arial" w:hAnsi="Arial" w:eastAsia="Arial"/>
                <w:w w:val="98"/>
                <w:lang w:val="sr-Cyrl-RS"/>
              </w:rPr>
              <w:t>Повезивање кампа</w:t>
            </w:r>
          </w:p>
        </w:tc>
        <w:tc>
          <w:tcPr>
            <w:tcW w:w="1780" w:type="dxa"/>
            <w:shd w:val="clear" w:color="auto" w:fill="EBEBEB"/>
            <w:vAlign w:val="bottom"/>
          </w:tcPr>
          <w:p>
            <w:pPr>
              <w:spacing w:line="0" w:lineRule="atLeast"/>
              <w:ind w:right="4"/>
              <w:rPr>
                <w:rFonts w:ascii="Arial" w:hAnsi="Arial" w:eastAsia="Arial"/>
                <w:w w:val="99"/>
                <w:lang w:val="sr-Cyrl-RS"/>
              </w:rPr>
            </w:pPr>
            <w:r>
              <w:rPr>
                <w:rFonts w:ascii="Arial" w:hAnsi="Arial" w:eastAsia="Arial"/>
                <w:w w:val="99"/>
                <w:lang w:val="sr-Cyrl-RS"/>
              </w:rPr>
              <w:t>са другим</w:t>
            </w:r>
          </w:p>
        </w:tc>
      </w:tr>
      <w:tr>
        <w:tblPrEx>
          <w:tblCellMar>
            <w:top w:w="0" w:type="dxa"/>
            <w:left w:w="0" w:type="dxa"/>
            <w:bottom w:w="0" w:type="dxa"/>
            <w:right w:w="0" w:type="dxa"/>
          </w:tblCellMar>
        </w:tblPrEx>
        <w:trPr>
          <w:trHeight w:val="320"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2820" w:type="dxa"/>
            <w:shd w:val="clear" w:color="auto" w:fill="EBEBEB"/>
            <w:vAlign w:val="bottom"/>
          </w:tcPr>
          <w:p>
            <w:pPr>
              <w:spacing w:line="0" w:lineRule="atLeast"/>
              <w:ind w:left="120"/>
              <w:rPr>
                <w:rFonts w:ascii="Arial" w:hAnsi="Arial" w:eastAsia="Arial"/>
                <w:lang w:val="sr-Cyrl-RS"/>
              </w:rPr>
            </w:pPr>
            <w:r>
              <w:rPr>
                <w:rFonts w:ascii="Arial" w:hAnsi="Arial" w:eastAsia="Arial"/>
                <w:lang w:val="sr-Cyrl-RS"/>
              </w:rPr>
              <w:t>Туристичким</w:t>
            </w:r>
          </w:p>
        </w:tc>
        <w:tc>
          <w:tcPr>
            <w:tcW w:w="1780" w:type="dxa"/>
            <w:shd w:val="clear" w:color="auto" w:fill="EBEBEB"/>
            <w:vAlign w:val="bottom"/>
          </w:tcPr>
          <w:p>
            <w:pPr>
              <w:spacing w:line="0" w:lineRule="atLeast"/>
              <w:ind w:right="4"/>
              <w:rPr>
                <w:rFonts w:ascii="Arial" w:hAnsi="Arial" w:eastAsia="Arial"/>
                <w:lang w:val="sr-Cyrl-RS"/>
              </w:rPr>
            </w:pPr>
            <w:r>
              <w:rPr>
                <w:rFonts w:ascii="Arial" w:hAnsi="Arial" w:eastAsia="Arial"/>
                <w:lang w:val="sr-Cyrl-RS"/>
              </w:rPr>
              <w:t>производима</w:t>
            </w:r>
          </w:p>
        </w:tc>
      </w:tr>
      <w:tr>
        <w:tblPrEx>
          <w:tblCellMar>
            <w:top w:w="0" w:type="dxa"/>
            <w:left w:w="0" w:type="dxa"/>
            <w:bottom w:w="0" w:type="dxa"/>
            <w:right w:w="0" w:type="dxa"/>
          </w:tblCellMar>
        </w:tblPrEx>
        <w:trPr>
          <w:trHeight w:val="315"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2820" w:type="dxa"/>
            <w:shd w:val="clear" w:color="auto" w:fill="EBEBEB"/>
            <w:vAlign w:val="bottom"/>
          </w:tcPr>
          <w:p>
            <w:pPr>
              <w:spacing w:line="0" w:lineRule="atLeast"/>
              <w:ind w:left="120"/>
              <w:rPr>
                <w:rFonts w:ascii="Arial" w:hAnsi="Arial" w:eastAsia="Arial"/>
                <w:lang w:val="sr-Cyrl-RS"/>
              </w:rPr>
            </w:pPr>
            <w:r>
              <w:rPr>
                <w:rFonts w:ascii="Arial" w:hAnsi="Arial" w:eastAsia="Arial"/>
                <w:lang w:val="sr-Cyrl-RS"/>
              </w:rPr>
              <w:t>(бициклизам,</w:t>
            </w:r>
          </w:p>
        </w:tc>
        <w:tc>
          <w:tcPr>
            <w:tcW w:w="1780" w:type="dxa"/>
            <w:shd w:val="clear" w:color="auto" w:fill="EBEBEB"/>
            <w:vAlign w:val="bottom"/>
          </w:tcPr>
          <w:p>
            <w:pPr>
              <w:spacing w:line="0" w:lineRule="atLeast"/>
              <w:ind w:right="4"/>
              <w:rPr>
                <w:rFonts w:ascii="Arial" w:hAnsi="Arial" w:eastAsia="Arial"/>
                <w:lang w:val="sr-Cyrl-RS"/>
              </w:rPr>
            </w:pPr>
            <w:r>
              <w:rPr>
                <w:rFonts w:ascii="Arial" w:hAnsi="Arial" w:eastAsia="Arial"/>
                <w:lang w:val="sr-Cyrl-RS"/>
              </w:rPr>
              <w:t>пешачење,</w:t>
            </w:r>
          </w:p>
        </w:tc>
      </w:tr>
      <w:tr>
        <w:tblPrEx>
          <w:tblCellMar>
            <w:top w:w="0" w:type="dxa"/>
            <w:left w:w="0" w:type="dxa"/>
            <w:bottom w:w="0" w:type="dxa"/>
            <w:right w:w="0" w:type="dxa"/>
          </w:tblCellMar>
        </w:tblPrEx>
        <w:trPr>
          <w:trHeight w:val="315"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4580" w:type="dxa"/>
            <w:gridSpan w:val="2"/>
            <w:shd w:val="clear" w:color="auto" w:fill="EBEBEB"/>
            <w:vAlign w:val="bottom"/>
          </w:tcPr>
          <w:p>
            <w:pPr>
              <w:spacing w:line="0" w:lineRule="atLeast"/>
              <w:ind w:left="120"/>
              <w:rPr>
                <w:rFonts w:ascii="Arial" w:hAnsi="Arial" w:eastAsia="Arial"/>
                <w:lang w:val="sr-Cyrl-RS"/>
              </w:rPr>
            </w:pPr>
            <w:r>
              <w:rPr>
                <w:rFonts w:ascii="Arial" w:hAnsi="Arial" w:eastAsia="Arial"/>
                <w:lang w:val="sr-Cyrl-RS"/>
              </w:rPr>
              <w:t>планинарење) у региону Заплања.</w:t>
            </w:r>
          </w:p>
        </w:tc>
      </w:tr>
      <w:tr>
        <w:tblPrEx>
          <w:tblCellMar>
            <w:top w:w="0" w:type="dxa"/>
            <w:left w:w="0" w:type="dxa"/>
            <w:bottom w:w="0" w:type="dxa"/>
            <w:right w:w="0" w:type="dxa"/>
          </w:tblCellMar>
        </w:tblPrEx>
        <w:trPr>
          <w:trHeight w:val="320" w:hRule="atLeast"/>
        </w:trPr>
        <w:tc>
          <w:tcPr>
            <w:tcW w:w="20" w:type="dxa"/>
            <w:shd w:val="clear" w:color="auto" w:fill="auto"/>
            <w:vAlign w:val="bottom"/>
          </w:tcPr>
          <w:p>
            <w:pPr>
              <w:spacing w:line="0" w:lineRule="atLeast"/>
              <w:rPr>
                <w:lang w:val="sr-Cyrl-RS"/>
              </w:rPr>
            </w:pPr>
          </w:p>
        </w:tc>
        <w:tc>
          <w:tcPr>
            <w:tcW w:w="4440" w:type="dxa"/>
            <w:shd w:val="clear" w:color="auto" w:fill="EBEBEB"/>
            <w:vAlign w:val="bottom"/>
          </w:tcPr>
          <w:p>
            <w:pPr>
              <w:spacing w:line="0" w:lineRule="atLeast"/>
              <w:rPr>
                <w:lang w:val="sr-Cyrl-RS"/>
              </w:rPr>
            </w:pPr>
          </w:p>
        </w:tc>
        <w:tc>
          <w:tcPr>
            <w:tcW w:w="2820" w:type="dxa"/>
            <w:shd w:val="clear" w:color="auto" w:fill="EBEBEB"/>
            <w:vAlign w:val="bottom"/>
          </w:tcPr>
          <w:p>
            <w:pPr>
              <w:spacing w:line="0" w:lineRule="atLeast"/>
              <w:rPr>
                <w:lang w:val="sr-Cyrl-RS"/>
              </w:rPr>
            </w:pPr>
          </w:p>
        </w:tc>
        <w:tc>
          <w:tcPr>
            <w:tcW w:w="1780" w:type="dxa"/>
            <w:shd w:val="clear" w:color="auto" w:fill="EBEBEB"/>
            <w:vAlign w:val="bottom"/>
          </w:tcPr>
          <w:p>
            <w:pPr>
              <w:spacing w:line="0" w:lineRule="atLeast"/>
              <w:rPr>
                <w:lang w:val="sr-Cyrl-RS"/>
              </w:rPr>
            </w:pPr>
          </w:p>
        </w:tc>
      </w:tr>
      <w:tr>
        <w:tblPrEx>
          <w:tblCellMar>
            <w:top w:w="0" w:type="dxa"/>
            <w:left w:w="0" w:type="dxa"/>
            <w:bottom w:w="0" w:type="dxa"/>
            <w:right w:w="0" w:type="dxa"/>
          </w:tblCellMar>
        </w:tblPrEx>
        <w:trPr>
          <w:trHeight w:val="275" w:hRule="atLeast"/>
        </w:trPr>
        <w:tc>
          <w:tcPr>
            <w:tcW w:w="20" w:type="dxa"/>
            <w:shd w:val="clear" w:color="auto" w:fill="auto"/>
            <w:vAlign w:val="bottom"/>
          </w:tcPr>
          <w:p>
            <w:pPr>
              <w:spacing w:line="0" w:lineRule="atLeast"/>
              <w:rPr>
                <w:sz w:val="23"/>
                <w:lang w:val="sr-Cyrl-RS"/>
              </w:rPr>
            </w:pPr>
          </w:p>
        </w:tc>
        <w:tc>
          <w:tcPr>
            <w:tcW w:w="4440" w:type="dxa"/>
            <w:shd w:val="clear" w:color="auto" w:fill="auto"/>
            <w:vAlign w:val="bottom"/>
          </w:tcPr>
          <w:p>
            <w:pPr>
              <w:spacing w:line="0" w:lineRule="atLeast"/>
              <w:ind w:left="120"/>
              <w:rPr>
                <w:rFonts w:ascii="Arial" w:hAnsi="Arial" w:eastAsia="Arial"/>
                <w:b/>
                <w:lang w:val="sr-Cyrl-RS"/>
              </w:rPr>
            </w:pPr>
            <w:r>
              <w:rPr>
                <w:rFonts w:ascii="Arial" w:hAnsi="Arial" w:eastAsia="Arial"/>
                <w:b/>
                <w:lang w:val="sr-Cyrl-RS"/>
              </w:rPr>
              <w:t>Извори финансирања</w:t>
            </w:r>
          </w:p>
        </w:tc>
        <w:tc>
          <w:tcPr>
            <w:tcW w:w="4580" w:type="dxa"/>
            <w:gridSpan w:val="2"/>
            <w:shd w:val="clear" w:color="auto" w:fill="auto"/>
            <w:vAlign w:val="bottom"/>
          </w:tcPr>
          <w:p>
            <w:pPr>
              <w:spacing w:line="0" w:lineRule="atLeast"/>
              <w:ind w:left="120"/>
              <w:rPr>
                <w:rFonts w:ascii="Arial" w:hAnsi="Arial" w:eastAsia="Arial"/>
                <w:lang w:val="sr-Cyrl-RS"/>
              </w:rPr>
            </w:pPr>
            <w:r>
              <w:rPr>
                <w:rFonts w:ascii="Arial" w:hAnsi="Arial" w:eastAsia="Arial"/>
                <w:lang w:val="sr-Cyrl-RS"/>
              </w:rPr>
              <w:t>Јавно-приватно; ЕУ фондови; Државни</w:t>
            </w:r>
          </w:p>
        </w:tc>
      </w:tr>
      <w:tr>
        <w:tblPrEx>
          <w:tblCellMar>
            <w:top w:w="0" w:type="dxa"/>
            <w:left w:w="0" w:type="dxa"/>
            <w:bottom w:w="0" w:type="dxa"/>
            <w:right w:w="0" w:type="dxa"/>
          </w:tblCellMar>
        </w:tblPrEx>
        <w:trPr>
          <w:trHeight w:val="320" w:hRule="atLeast"/>
        </w:trPr>
        <w:tc>
          <w:tcPr>
            <w:tcW w:w="20" w:type="dxa"/>
            <w:shd w:val="clear" w:color="auto" w:fill="auto"/>
            <w:vAlign w:val="bottom"/>
          </w:tcPr>
          <w:p>
            <w:pPr>
              <w:spacing w:line="0" w:lineRule="atLeast"/>
              <w:rPr>
                <w:lang w:val="sr-Cyrl-RS"/>
              </w:rPr>
            </w:pPr>
          </w:p>
        </w:tc>
        <w:tc>
          <w:tcPr>
            <w:tcW w:w="4440" w:type="dxa"/>
            <w:shd w:val="clear" w:color="auto" w:fill="auto"/>
            <w:vAlign w:val="bottom"/>
          </w:tcPr>
          <w:p>
            <w:pPr>
              <w:spacing w:line="0" w:lineRule="atLeast"/>
              <w:rPr>
                <w:lang w:val="sr-Cyrl-RS"/>
              </w:rPr>
            </w:pPr>
          </w:p>
        </w:tc>
        <w:tc>
          <w:tcPr>
            <w:tcW w:w="2820" w:type="dxa"/>
            <w:shd w:val="clear" w:color="auto" w:fill="auto"/>
            <w:vAlign w:val="bottom"/>
          </w:tcPr>
          <w:p>
            <w:pPr>
              <w:spacing w:line="0" w:lineRule="atLeast"/>
              <w:ind w:left="120"/>
              <w:rPr>
                <w:rFonts w:ascii="Arial" w:hAnsi="Arial" w:eastAsia="Arial"/>
                <w:lang w:val="sr-Cyrl-RS"/>
              </w:rPr>
            </w:pPr>
            <w:r>
              <w:rPr>
                <w:rFonts w:ascii="Arial" w:hAnsi="Arial" w:eastAsia="Arial"/>
                <w:lang w:val="sr-Cyrl-RS"/>
              </w:rPr>
              <w:t>фондови и субвенције</w:t>
            </w:r>
          </w:p>
        </w:tc>
        <w:tc>
          <w:tcPr>
            <w:tcW w:w="1780" w:type="dxa"/>
            <w:shd w:val="clear" w:color="auto" w:fill="auto"/>
            <w:vAlign w:val="bottom"/>
          </w:tcPr>
          <w:p>
            <w:pPr>
              <w:spacing w:line="0" w:lineRule="atLeast"/>
              <w:rPr>
                <w:lang w:val="sr-Cyrl-RS"/>
              </w:rPr>
            </w:pPr>
          </w:p>
        </w:tc>
      </w:tr>
      <w:tr>
        <w:tblPrEx>
          <w:tblCellMar>
            <w:top w:w="0" w:type="dxa"/>
            <w:left w:w="0" w:type="dxa"/>
            <w:bottom w:w="0" w:type="dxa"/>
            <w:right w:w="0" w:type="dxa"/>
          </w:tblCellMar>
        </w:tblPrEx>
        <w:trPr>
          <w:trHeight w:val="40" w:hRule="atLeast"/>
        </w:trPr>
        <w:tc>
          <w:tcPr>
            <w:tcW w:w="20" w:type="dxa"/>
            <w:shd w:val="clear" w:color="auto" w:fill="auto"/>
            <w:vAlign w:val="bottom"/>
          </w:tcPr>
          <w:p>
            <w:pPr>
              <w:spacing w:line="0" w:lineRule="atLeast"/>
              <w:rPr>
                <w:sz w:val="3"/>
                <w:lang w:val="sr-Cyrl-RS"/>
              </w:rPr>
            </w:pPr>
          </w:p>
        </w:tc>
        <w:tc>
          <w:tcPr>
            <w:tcW w:w="4440" w:type="dxa"/>
            <w:shd w:val="clear" w:color="auto" w:fill="auto"/>
            <w:vAlign w:val="bottom"/>
          </w:tcPr>
          <w:p>
            <w:pPr>
              <w:spacing w:line="0" w:lineRule="atLeast"/>
              <w:rPr>
                <w:sz w:val="3"/>
                <w:lang w:val="sr-Cyrl-RS"/>
              </w:rPr>
            </w:pPr>
          </w:p>
        </w:tc>
        <w:tc>
          <w:tcPr>
            <w:tcW w:w="2820" w:type="dxa"/>
            <w:shd w:val="clear" w:color="auto" w:fill="auto"/>
            <w:vAlign w:val="bottom"/>
          </w:tcPr>
          <w:p>
            <w:pPr>
              <w:spacing w:line="0" w:lineRule="atLeast"/>
              <w:rPr>
                <w:sz w:val="3"/>
                <w:lang w:val="sr-Cyrl-RS"/>
              </w:rPr>
            </w:pPr>
          </w:p>
        </w:tc>
        <w:tc>
          <w:tcPr>
            <w:tcW w:w="1780" w:type="dxa"/>
            <w:shd w:val="clear" w:color="auto" w:fill="auto"/>
            <w:vAlign w:val="bottom"/>
          </w:tcPr>
          <w:p>
            <w:pPr>
              <w:spacing w:line="0" w:lineRule="atLeast"/>
              <w:rPr>
                <w:sz w:val="3"/>
                <w:lang w:val="sr-Cyrl-RS"/>
              </w:rPr>
            </w:pPr>
          </w:p>
        </w:tc>
      </w:tr>
      <w:tr>
        <w:tblPrEx>
          <w:tblCellMar>
            <w:top w:w="0" w:type="dxa"/>
            <w:left w:w="0" w:type="dxa"/>
            <w:bottom w:w="0" w:type="dxa"/>
            <w:right w:w="0" w:type="dxa"/>
          </w:tblCellMar>
        </w:tblPrEx>
        <w:trPr>
          <w:trHeight w:val="275" w:hRule="atLeast"/>
        </w:trPr>
        <w:tc>
          <w:tcPr>
            <w:tcW w:w="20" w:type="dxa"/>
            <w:shd w:val="clear" w:color="auto" w:fill="auto"/>
            <w:vAlign w:val="bottom"/>
          </w:tcPr>
          <w:p>
            <w:pPr>
              <w:spacing w:line="0" w:lineRule="atLeast"/>
              <w:rPr>
                <w:sz w:val="23"/>
                <w:lang w:val="sr-Cyrl-RS"/>
              </w:rPr>
            </w:pPr>
          </w:p>
        </w:tc>
        <w:tc>
          <w:tcPr>
            <w:tcW w:w="4440" w:type="dxa"/>
            <w:shd w:val="clear" w:color="auto" w:fill="EBEBEB"/>
            <w:vAlign w:val="bottom"/>
          </w:tcPr>
          <w:p>
            <w:pPr>
              <w:spacing w:line="0" w:lineRule="atLeast"/>
              <w:ind w:left="120"/>
              <w:rPr>
                <w:rFonts w:ascii="Arial" w:hAnsi="Arial" w:eastAsia="Arial"/>
                <w:b/>
                <w:lang w:val="sr-Cyrl-RS"/>
              </w:rPr>
            </w:pPr>
            <w:r>
              <w:rPr>
                <w:rFonts w:ascii="Arial" w:hAnsi="Arial" w:eastAsia="Arial"/>
                <w:b/>
                <w:lang w:val="sr-Cyrl-RS"/>
              </w:rPr>
              <w:t>Временски приоритет</w:t>
            </w:r>
          </w:p>
        </w:tc>
        <w:tc>
          <w:tcPr>
            <w:tcW w:w="2820" w:type="dxa"/>
            <w:shd w:val="clear" w:color="auto" w:fill="EBEBEB"/>
            <w:vAlign w:val="bottom"/>
          </w:tcPr>
          <w:p>
            <w:pPr>
              <w:spacing w:line="0" w:lineRule="atLeast"/>
              <w:ind w:left="120"/>
              <w:rPr>
                <w:rFonts w:ascii="Arial" w:hAnsi="Arial" w:eastAsia="Arial"/>
                <w:lang w:val="sr-Cyrl-RS"/>
              </w:rPr>
            </w:pPr>
            <w:r>
              <w:rPr>
                <w:rFonts w:ascii="Arial" w:hAnsi="Arial" w:eastAsia="Arial"/>
                <w:lang w:val="sr-Cyrl-RS"/>
              </w:rPr>
              <w:t>2 године</w:t>
            </w:r>
          </w:p>
        </w:tc>
        <w:tc>
          <w:tcPr>
            <w:tcW w:w="1780" w:type="dxa"/>
            <w:shd w:val="clear" w:color="auto" w:fill="EBEBEB"/>
            <w:vAlign w:val="bottom"/>
          </w:tcPr>
          <w:p>
            <w:pPr>
              <w:spacing w:line="0" w:lineRule="atLeast"/>
              <w:rPr>
                <w:sz w:val="23"/>
                <w:lang w:val="sr-Cyrl-RS"/>
              </w:rPr>
            </w:pPr>
          </w:p>
        </w:tc>
      </w:tr>
      <w:tr>
        <w:tblPrEx>
          <w:tblCellMar>
            <w:top w:w="0" w:type="dxa"/>
            <w:left w:w="0" w:type="dxa"/>
            <w:bottom w:w="0" w:type="dxa"/>
            <w:right w:w="0" w:type="dxa"/>
          </w:tblCellMar>
        </w:tblPrEx>
        <w:trPr>
          <w:trHeight w:val="275" w:hRule="atLeast"/>
        </w:trPr>
        <w:tc>
          <w:tcPr>
            <w:tcW w:w="20" w:type="dxa"/>
            <w:tcBorders>
              <w:bottom w:val="single" w:color="B2B2B2" w:sz="8" w:space="0"/>
            </w:tcBorders>
            <w:shd w:val="clear" w:color="auto" w:fill="auto"/>
            <w:vAlign w:val="bottom"/>
          </w:tcPr>
          <w:p>
            <w:pPr>
              <w:spacing w:line="0" w:lineRule="atLeast"/>
              <w:rPr>
                <w:sz w:val="23"/>
                <w:lang w:val="sr-Cyrl-RS"/>
              </w:rPr>
            </w:pPr>
          </w:p>
        </w:tc>
        <w:tc>
          <w:tcPr>
            <w:tcW w:w="4440" w:type="dxa"/>
            <w:tcBorders>
              <w:bottom w:val="single" w:color="B2B2B2" w:sz="8" w:space="0"/>
            </w:tcBorders>
            <w:shd w:val="clear" w:color="auto" w:fill="auto"/>
            <w:vAlign w:val="bottom"/>
          </w:tcPr>
          <w:p>
            <w:pPr>
              <w:spacing w:line="0" w:lineRule="atLeast"/>
              <w:ind w:left="120"/>
              <w:rPr>
                <w:rFonts w:ascii="Arial" w:hAnsi="Arial" w:eastAsia="Arial"/>
                <w:b/>
                <w:lang w:val="sr-Cyrl-RS"/>
              </w:rPr>
            </w:pPr>
            <w:r>
              <w:rPr>
                <w:rFonts w:ascii="Arial" w:hAnsi="Arial" w:eastAsia="Arial"/>
                <w:b/>
                <w:lang w:val="sr-Cyrl-RS"/>
              </w:rPr>
              <w:t>Ниво приоритета</w:t>
            </w:r>
          </w:p>
        </w:tc>
        <w:tc>
          <w:tcPr>
            <w:tcW w:w="2820" w:type="dxa"/>
            <w:tcBorders>
              <w:bottom w:val="single" w:color="B2B2B2" w:sz="8" w:space="0"/>
            </w:tcBorders>
            <w:shd w:val="clear" w:color="auto" w:fill="auto"/>
            <w:vAlign w:val="bottom"/>
          </w:tcPr>
          <w:p>
            <w:pPr>
              <w:spacing w:line="0" w:lineRule="atLeast"/>
              <w:ind w:left="120"/>
              <w:rPr>
                <w:rFonts w:ascii="Arial" w:hAnsi="Arial" w:eastAsia="Arial"/>
                <w:lang w:val="sr-Cyrl-RS"/>
              </w:rPr>
            </w:pPr>
            <w:r>
              <w:rPr>
                <w:rFonts w:ascii="Arial" w:hAnsi="Arial" w:eastAsia="Arial"/>
                <w:lang w:val="sr-Cyrl-RS"/>
              </w:rPr>
              <w:t>Веома висок</w:t>
            </w:r>
          </w:p>
        </w:tc>
        <w:tc>
          <w:tcPr>
            <w:tcW w:w="1780" w:type="dxa"/>
            <w:tcBorders>
              <w:bottom w:val="single" w:color="B2B2B2" w:sz="8" w:space="0"/>
            </w:tcBorders>
            <w:shd w:val="clear" w:color="auto" w:fill="auto"/>
            <w:vAlign w:val="bottom"/>
          </w:tcPr>
          <w:p>
            <w:pPr>
              <w:spacing w:line="0" w:lineRule="atLeast"/>
              <w:rPr>
                <w:sz w:val="23"/>
                <w:lang w:val="sr-Cyrl-RS"/>
              </w:rPr>
            </w:pPr>
          </w:p>
        </w:tc>
      </w:tr>
    </w:tbl>
    <w:p>
      <w:pPr>
        <w:spacing w:line="200" w:lineRule="exact"/>
        <w:rPr>
          <w:lang w:val="sr-Cyrl-RS"/>
        </w:rPr>
      </w:pPr>
    </w:p>
    <w:p>
      <w:pPr>
        <w:rPr>
          <w:lang w:val="sr-Cyrl-RS"/>
        </w:rPr>
      </w:pPr>
      <w:r>
        <w:rPr>
          <w:lang w:val="sr-Cyrl-RS"/>
        </w:rPr>
        <w:br w:type="page"/>
      </w:r>
    </w:p>
    <w:p>
      <w:pPr>
        <w:pStyle w:val="2"/>
        <w:rPr>
          <w:rFonts w:ascii="Arial" w:hAnsi="Arial" w:cs="Arial"/>
          <w:b/>
          <w:bCs w:val="0"/>
          <w:sz w:val="24"/>
          <w:szCs w:val="24"/>
          <w:lang w:val="sr-Cyrl-RS"/>
        </w:rPr>
      </w:pPr>
      <w:bookmarkStart w:id="95" w:name="_Toc159226542"/>
      <w:r>
        <w:rPr>
          <w:rFonts w:ascii="Arial" w:hAnsi="Arial" w:cs="Arial"/>
          <w:b/>
          <w:bCs w:val="0"/>
          <w:sz w:val="24"/>
          <w:szCs w:val="24"/>
          <w:lang w:val="sr-Cyrl-RS"/>
        </w:rPr>
        <w:t>11. МОДЕЛ УПРАВЉАЊА ТУРИСТИЧКОМ ДЕСТИНАЦИЈОМ</w:t>
      </w:r>
      <w:bookmarkEnd w:id="95"/>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У складу са Законом о туризму, туристичка дестинација је одредиште туристичког путовања које својом опремљеношћу омогућава прихват и боравак путника. Закон о туризму Републике Србије препознаје Туристичке организације и Дестинацијске менаџмент организације као управљаче туристичком дестинацијом.</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Туристичке организације се углавном врше послове промоције, иако је њихов делокруг послова знатно шири, што смо приказали у поглављу 4.</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7</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 xml:space="preserve"> Анализа постојећег модела управљања туризмом.</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Носиоци управљања и развоја туризма на простору општине Гаџин Хан имају локална самоуправа и општинска туристичка организација који би у сарадњи са кључним носиоцима туристичке понуде требало да реализују планове и активности.</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Пре свега, Локална туристичка организација неопходно је да има кључну улогу за креирање услова за прихват и боравак туриста, а потом и за промоцију туристичких вредности дестинације.</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p>
    <w:p>
      <w:pPr>
        <w:spacing w:after="160"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b/>
          <w:bCs/>
          <w:color w:val="000000" w:themeColor="text1"/>
          <w:lang w:val="sr-Cyrl-RS" w:eastAsia="sr-Latn-RS"/>
          <w14:textFill>
            <w14:solidFill>
              <w14:schemeClr w14:val="tx1"/>
            </w14:solidFill>
          </w14:textFill>
        </w:rPr>
        <w:t>Управљач туристичком дестинацијом Гаџин Хан</w:t>
      </w:r>
      <w:r>
        <w:rPr>
          <w:rFonts w:ascii="Arial" w:hAnsi="Arial" w:cs="Arial"/>
          <w:color w:val="000000" w:themeColor="text1"/>
          <w:lang w:val="sr-Cyrl-RS" w:eastAsia="sr-Latn-RS"/>
          <w14:textFill>
            <w14:solidFill>
              <w14:schemeClr w14:val="tx1"/>
            </w14:solidFill>
          </w14:textFill>
        </w:rPr>
        <w:t xml:space="preserve"> може бити постојећа Локална туристичка организација општине Гаџин Хан, али је потребно ојачати њене капацитете. Пре свега неопходно је урадити нову систематизацију радних места.</w:t>
      </w:r>
      <w:r>
        <w:rPr>
          <w:rFonts w:ascii="Arial" w:hAnsi="Arial" w:cs="Arial"/>
          <w:lang w:val="sr-Cyrl-RS"/>
        </w:rPr>
        <w:t xml:space="preserve"> </w:t>
      </w:r>
      <w:r>
        <w:rPr>
          <w:rFonts w:ascii="Arial" w:hAnsi="Arial" w:cs="Arial"/>
          <w:color w:val="000000" w:themeColor="text1"/>
          <w:lang w:val="sr-Cyrl-RS" w:eastAsia="en-US"/>
          <w14:textFill>
            <w14:solidFill>
              <w14:schemeClr w14:val="tx1"/>
            </w14:solidFill>
          </w14:textFill>
        </w:rPr>
        <w:t>Правилник о организацији и систематизацији послова Туристичке организације општине Гаџин Хан неопходно је усагласити са потребама дестинације, а у складу са Уредбом о Каталогу радних места у јавним службама и другим организацијама у јавном сектору ("Сл. гласник РС", бр. 81/2017, 6/2018 и 43/2018). Овом уредбом утврђују се попис радних места, њихови општи/типични описи и захтеви за њихово обављање у јавним службама, у другим јавним службама које је основала Република Србија, аутономна покрајина и јединица локалне самоуправе, а које су директни или индиректни корисници буџета.</w:t>
      </w:r>
    </w:p>
    <w:p>
      <w:pPr>
        <w:spacing w:after="160"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У систематизацију радних места неопходно је унети радна места која одговарају делокруку послова за које је основана туристичка организација, а који су кључни за Управљање дестинацијом (предлог: Аналитичар за унапређење и развој туристичког производа, Аналитичар за унапређење и развој промоције и или слично).</w:t>
      </w:r>
    </w:p>
    <w:p>
      <w:pPr>
        <w:spacing w:after="16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eastAsia="Calibri" w:cs="Arial"/>
          <w:color w:val="000000" w:themeColor="text1"/>
          <w:lang w:val="sr-Cyrl-RS" w:eastAsia="en-US"/>
          <w14:textFill>
            <w14:solidFill>
              <w14:schemeClr w14:val="tx1"/>
            </w14:solidFill>
          </w14:textFill>
        </w:rPr>
        <w:t>Од посебног значаја је сарадња и координација Туристичке организације са локалном туристичком привредом, рецептивним туристичким агенцијама, ресторатерима, власницима приватног смештаја, удружењима, предузетницима  и осталим пружаоцима услуга у туризму и комплементарним областима, како би се боље искористиле конкурентске предности, спровела усаглашена мисија и остварила усвојена визије Гаџиног Хана и Суве планине као туристичке дестинације</w:t>
      </w:r>
    </w:p>
    <w:p>
      <w:pPr>
        <w:spacing w:line="276" w:lineRule="auto"/>
        <w:jc w:val="both"/>
        <w:rPr>
          <w:rFonts w:ascii="Arial" w:hAnsi="Arial" w:cs="Arial"/>
          <w:bCs/>
          <w:color w:val="000000" w:themeColor="text1"/>
          <w:lang w:val="sr-Cyrl-RS" w:eastAsia="sr-Latn-RS"/>
          <w14:textFill>
            <w14:solidFill>
              <w14:schemeClr w14:val="tx1"/>
            </w14:solidFill>
          </w14:textFill>
        </w:rPr>
      </w:pPr>
      <w:r>
        <w:rPr>
          <w:rFonts w:ascii="Arial" w:hAnsi="Arial" w:cs="Arial"/>
          <w:bCs/>
          <w:color w:val="000000" w:themeColor="text1"/>
          <w:lang w:val="sr-Cyrl-RS" w:eastAsia="sr-Latn-RS"/>
          <w14:textFill>
            <w14:solidFill>
              <w14:schemeClr w14:val="tx1"/>
            </w14:solidFill>
          </w14:textFill>
        </w:rPr>
        <w:t>Као управљач туристичка организација треба да ради на развоју туристичкох производа.</w:t>
      </w:r>
      <w:r>
        <w:rPr>
          <w:lang w:val="ru-RU"/>
        </w:rPr>
        <w:t xml:space="preserve"> </w:t>
      </w:r>
      <w:r>
        <w:rPr>
          <w:rFonts w:ascii="Arial" w:hAnsi="Arial" w:cs="Arial"/>
          <w:bCs/>
          <w:color w:val="000000" w:themeColor="text1"/>
          <w:lang w:val="sr-Cyrl-RS" w:eastAsia="sr-Latn-RS"/>
          <w14:textFill>
            <w14:solidFill>
              <w14:schemeClr w14:val="tx1"/>
            </w14:solidFill>
          </w14:textFill>
        </w:rPr>
        <w:t>У зависности од интереса и степена учешћа у формирању кључних туристичких производа требало би формирати стручне тимове који би се специјализовано бавили развојем и унапређењем сваког појединачног туристичког производа  (Специјални интереси, Културно тематске руте, Манифестације, Рурални туризам).</w:t>
      </w:r>
    </w:p>
    <w:p>
      <w:pPr>
        <w:spacing w:line="276" w:lineRule="auto"/>
        <w:jc w:val="both"/>
        <w:rPr>
          <w:rFonts w:ascii="Arial" w:hAnsi="Arial" w:cs="Arial"/>
          <w:bCs/>
          <w:color w:val="000000" w:themeColor="text1"/>
          <w:lang w:val="sr-Cyrl-RS" w:eastAsia="sr-Latn-RS"/>
          <w14:textFill>
            <w14:solidFill>
              <w14:schemeClr w14:val="tx1"/>
            </w14:solidFill>
          </w14:textFill>
        </w:rPr>
      </w:pPr>
      <w:r>
        <w:rPr>
          <w:rFonts w:ascii="Arial" w:hAnsi="Arial" w:cs="Arial"/>
          <w:bCs/>
          <w:color w:val="000000" w:themeColor="text1"/>
          <w:lang w:val="sr-Cyrl-RS" w:eastAsia="sr-Latn-RS"/>
          <w14:textFill>
            <w14:solidFill>
              <w14:schemeClr w14:val="tx1"/>
            </w14:solidFill>
          </w14:textFill>
        </w:rPr>
        <w:t>Туристичка организација Гаџин Хан неопходно је да у сарадњи са општином планира развој туристичке инфраструктуре и активно учествује у аплицирању за Еу фондове, као и код других потенцијалних донатора.</w:t>
      </w:r>
    </w:p>
    <w:p>
      <w:pPr>
        <w:spacing w:line="276" w:lineRule="auto"/>
        <w:jc w:val="both"/>
        <w:rPr>
          <w:rFonts w:ascii="Arial" w:hAnsi="Arial" w:cs="Arial"/>
          <w:bCs/>
          <w:color w:val="000000" w:themeColor="text1"/>
          <w:lang w:val="sr-Cyrl-RS" w:eastAsia="sr-Latn-RS"/>
          <w14:textFill>
            <w14:solidFill>
              <w14:schemeClr w14:val="tx1"/>
            </w14:solidFill>
          </w14:textFill>
        </w:rPr>
      </w:pPr>
      <w:r>
        <w:rPr>
          <w:rFonts w:ascii="Arial" w:hAnsi="Arial" w:cs="Arial"/>
          <w:bCs/>
          <w:color w:val="000000" w:themeColor="text1"/>
          <w:lang w:val="sr-Cyrl-RS" w:eastAsia="sr-Latn-RS"/>
          <w14:textFill>
            <w14:solidFill>
              <w14:schemeClr w14:val="tx1"/>
            </w14:solidFill>
          </w14:textFill>
        </w:rPr>
        <w:t>Основна делатност Туристичке организације као управљача туристичке дестинације јесте управлјање туристичким производима, истраживање и развој, маркетинг и промоција дестинације, као и координирање активности са локалним актерима у туризму и повезивање са туристичким актерима у окружењу.</w:t>
      </w:r>
    </w:p>
    <w:p>
      <w:pPr>
        <w:spacing w:line="276" w:lineRule="auto"/>
        <w:jc w:val="both"/>
        <w:rPr>
          <w:rFonts w:ascii="Arial" w:hAnsi="Arial" w:cs="Arial"/>
          <w:color w:val="000000" w:themeColor="text1"/>
          <w:lang w:val="sr-Cyrl-RS" w:eastAsia="sr-Latn-RS"/>
          <w14:textFill>
            <w14:solidFill>
              <w14:schemeClr w14:val="tx1"/>
            </w14:solidFill>
          </w14:textFill>
        </w:rPr>
      </w:pP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 xml:space="preserve">Управљати туристичком дестинацијом подразумева активности управљања привредом, посетиоцима, локалном заједницом и локалним окружењем, кроз планирање, организовање, контролу и вођство, као и спровођење Програма развоја туризма и друге стратешке документе. </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Туристичка организација Гаџин Хан потребно је да унапреди сарадњу са Туристичким организацијама у окружењу Суве планине. Неопходно је потписивање протокола о сарадњи са Туристичком организацијом града Ниш.</w:t>
      </w:r>
    </w:p>
    <w:p>
      <w:pPr>
        <w:spacing w:line="276" w:lineRule="auto"/>
        <w:jc w:val="both"/>
        <w:rPr>
          <w:rFonts w:ascii="Arial" w:hAnsi="Arial" w:cs="Arial"/>
          <w:color w:val="000000" w:themeColor="text1"/>
          <w:lang w:val="sr-Cyrl-RS" w:eastAsia="sr-Latn-RS"/>
          <w14:textFill>
            <w14:solidFill>
              <w14:schemeClr w14:val="tx1"/>
            </w14:solidFill>
          </w14:textFill>
        </w:rPr>
      </w:pPr>
    </w:p>
    <w:p>
      <w:pPr>
        <w:spacing w:line="276" w:lineRule="auto"/>
        <w:jc w:val="both"/>
        <w:rPr>
          <w:rFonts w:ascii="Arial" w:hAnsi="Arial" w:cs="Arial"/>
          <w:b/>
          <w:bCs/>
          <w:color w:val="000000" w:themeColor="text1"/>
          <w:lang w:val="sr-Cyrl-RS" w:eastAsia="sr-Latn-RS"/>
          <w14:textFill>
            <w14:solidFill>
              <w14:schemeClr w14:val="tx1"/>
            </w14:solidFill>
          </w14:textFill>
        </w:rPr>
      </w:pPr>
      <w:r>
        <w:rPr>
          <w:rFonts w:ascii="Arial" w:hAnsi="Arial" w:cs="Arial"/>
          <w:b/>
          <w:bCs/>
          <w:color w:val="000000" w:themeColor="text1"/>
          <w:lang w:val="sr-Cyrl-RS" w:eastAsia="sr-Latn-RS"/>
          <w14:textFill>
            <w14:solidFill>
              <w14:schemeClr w14:val="tx1"/>
            </w14:solidFill>
          </w14:textFill>
        </w:rPr>
        <w:t>Предлог активности на повезивању туристичке понуде Гаџин Хан са туристичком понудом града Ниша и дестинације Ниш са околином :</w:t>
      </w:r>
    </w:p>
    <w:p>
      <w:pPr>
        <w:spacing w:line="276" w:lineRule="auto"/>
        <w:jc w:val="both"/>
        <w:rPr>
          <w:rFonts w:ascii="Arial" w:hAnsi="Arial" w:cs="Arial"/>
          <w:color w:val="000000" w:themeColor="text1"/>
          <w:lang w:val="sr-Cyrl-RS" w:eastAsia="sr-Latn-RS"/>
          <w14:textFill>
            <w14:solidFill>
              <w14:schemeClr w14:val="tx1"/>
            </w14:solidFill>
          </w14:textFill>
        </w:rPr>
      </w:pP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Редовно слање информација о туристичким дешавањима и понуди дестинације Гаџин Хан.</w:t>
      </w: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Постављање информација на сајту ТО Ниш, као и промотивних материјала у Туристичком информативном центру Ниша.</w:t>
      </w: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Заједничко учешће на сајмовима и туристичким окупљањима у складу са потенцијалним тржиштима.</w:t>
      </w: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Учешће у организацији промотивних туристичких путовања за медије и туроператоре који посећују Ниш.</w:t>
      </w: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Учешће у организацији манифестација које се одржавају у Нишу - постављање инфо пункта, музички програм итд.</w:t>
      </w: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Постављање огласа/билборда на аеродрому Константин Велики у Нишу</w:t>
      </w:r>
    </w:p>
    <w:p>
      <w:pPr>
        <w:pStyle w:val="51"/>
        <w:numPr>
          <w:ilvl w:val="0"/>
          <w:numId w:val="55"/>
        </w:num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Слање промотивних материјала хотелима и смештајним капацитетима у Нишу</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 xml:space="preserve">Као управљач дестинације „Сува планина“ може се основати </w:t>
      </w:r>
      <w:r>
        <w:rPr>
          <w:rFonts w:ascii="Arial" w:hAnsi="Arial" w:cs="Arial"/>
          <w:lang w:val="sr-Cyrl-RS"/>
        </w:rPr>
        <w:t xml:space="preserve"> </w:t>
      </w:r>
      <w:r>
        <w:rPr>
          <w:rFonts w:ascii="Arial" w:hAnsi="Arial" w:cs="Arial"/>
          <w:b/>
          <w:bCs/>
          <w:color w:val="000000" w:themeColor="text1"/>
          <w:lang w:val="sr-Cyrl-RS" w:eastAsia="sr-Latn-RS"/>
          <w14:textFill>
            <w14:solidFill>
              <w14:schemeClr w14:val="tx1"/>
            </w14:solidFill>
          </w14:textFill>
        </w:rPr>
        <w:t>Дестинацијска менаџмент организација</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 xml:space="preserve">(у даљем тексту ДМО) удруживањем са микродестинацијама у окружењу (са општинама, односно туристичким актерима који гравитирају око Суве планине) која ће преузети функцију главног и одговорног субјекта за спровођење дефинисаних пројеката конкурентности, развоја производа и свих потребних активности дефинисаних Програмом развоја. </w:t>
      </w:r>
    </w:p>
    <w:p>
      <w:pPr>
        <w:spacing w:before="100" w:beforeAutospacing="1"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Дестинацијска менаџмент организација може бити основана од стране јавног сектора, од стране приватног сектора или, у идеалном случају, може настати као резултат јавно-приватног партнерства. Закон о туризму Републике Србије („Службени гласник РС”, број 17/19), дефинише да је дестинацијска менаџмент организација (ДМО) привредно друштво или друго правно лице основано ради управљања туристичком дестинацијом (планирање, организовање, маркетинг и вођење), чији оснивачи могу да буду из јавног и приватног сектора. Надаље, чланом 15. поменутог закона, предвиђено је да се управљање туристичким простором може поверити и дестинацијској менаџмент организацији у којој је један од оснивача јавно предузеће, односно Република Србија, аутономна покрајина или јединица локалне самоуправе и у коме је капитал тог оснивача већински</w:t>
      </w:r>
    </w:p>
    <w:p>
      <w:pPr>
        <w:spacing w:line="276" w:lineRule="auto"/>
        <w:jc w:val="both"/>
        <w:rPr>
          <w:rFonts w:ascii="Arial" w:hAnsi="Arial" w:cs="Arial"/>
          <w:color w:val="000000" w:themeColor="text1"/>
          <w:lang w:val="sr-Cyrl-RS" w:eastAsia="sr-Latn-RS"/>
          <w14:textFill>
            <w14:solidFill>
              <w14:schemeClr w14:val="tx1"/>
            </w14:solidFill>
          </w14:textFill>
        </w:rPr>
      </w:pPr>
    </w:p>
    <w:p>
      <w:p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 xml:space="preserve">Радом ДМО мора да руководи особа која је запослена са пуним радним временом и која својим стручним и управљачким капацитетом може директно утицати на контролу и извршење процеса. </w:t>
      </w:r>
    </w:p>
    <w:p>
      <w:pPr>
        <w:spacing w:line="276" w:lineRule="auto"/>
        <w:jc w:val="both"/>
        <w:rPr>
          <w:rFonts w:ascii="Arial" w:hAnsi="Arial" w:cs="Arial"/>
          <w:color w:val="000000" w:themeColor="text1"/>
          <w:lang w:val="sr-Cyrl-RS" w:eastAsia="sr-Latn-RS"/>
          <w14:textFill>
            <w14:solidFill>
              <w14:schemeClr w14:val="tx1"/>
            </w14:solidFill>
          </w14:textFill>
        </w:rPr>
      </w:pPr>
    </w:p>
    <w:p>
      <w:pPr>
        <w:spacing w:line="276" w:lineRule="auto"/>
        <w:jc w:val="both"/>
        <w:rPr>
          <w:rFonts w:ascii="Arial" w:hAnsi="Arial" w:cs="Arial"/>
          <w:b/>
          <w:color w:val="000000" w:themeColor="text1"/>
          <w:lang w:val="sr-Cyrl-RS" w:eastAsia="sr-Latn-RS"/>
          <w14:textFill>
            <w14:solidFill>
              <w14:schemeClr w14:val="tx1"/>
            </w14:solidFill>
          </w14:textFill>
        </w:rPr>
      </w:pPr>
      <w:r>
        <w:rPr>
          <w:rFonts w:ascii="Arial" w:hAnsi="Arial" w:cs="Arial"/>
          <w:b/>
          <w:color w:val="000000" w:themeColor="text1"/>
          <w:lang w:val="sr-Cyrl-RS" w:eastAsia="sr-Latn-RS"/>
          <w14:textFill>
            <w14:solidFill>
              <w14:schemeClr w14:val="tx1"/>
            </w14:solidFill>
          </w14:textFill>
        </w:rPr>
        <w:t>Модел финансирања ДМО</w:t>
      </w:r>
    </w:p>
    <w:p>
      <w:p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ДМО би се финансирао</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 xml:space="preserve"> из заједничких средстава општина, туристичких организација, као и од приватних субјеката (пружаоца услуга у туризму).</w:t>
      </w:r>
    </w:p>
    <w:p>
      <w:p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Модел финансирања мора укључити све оне структуре које учествују у туризму и које утичу на његов развој, а које улагањем својих ресурса уједно преузимају одговорност за активну операционализацију дефинисаних пројеката и активности.</w:t>
      </w:r>
    </w:p>
    <w:p>
      <w:p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Туристичке</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 xml:space="preserve"> организације</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 xml:space="preserve"> могу</w:t>
      </w:r>
      <w:r>
        <w:rPr>
          <w:rFonts w:ascii="Arial" w:hAnsi="Arial" w:cs="Arial"/>
          <w:lang w:val="sr-Cyrl-RS"/>
        </w:rPr>
        <w:t xml:space="preserve"> </w:t>
      </w:r>
      <w:r>
        <w:rPr>
          <w:rFonts w:ascii="Arial" w:hAnsi="Arial" w:cs="Arial"/>
          <w:color w:val="000000" w:themeColor="text1"/>
          <w:lang w:val="sr-Cyrl-RS" w:eastAsia="sr-Latn-RS"/>
          <w14:textFill>
            <w14:solidFill>
              <w14:schemeClr w14:val="tx1"/>
            </w14:solidFill>
          </w14:textFill>
        </w:rPr>
        <w:t xml:space="preserve"> допринети раду ДМО прикупљањем информација на локалу, умрежавањем локалних актера, информативном делатношћу, док ДМО локалним туристичким организацијама могу да пруже бољу кадровску оспособљеност, квалитетну промоцију, стратешко планирање и пројектни капацитет.</w:t>
      </w:r>
    </w:p>
    <w:p>
      <w:pPr>
        <w:spacing w:line="276" w:lineRule="auto"/>
        <w:jc w:val="both"/>
        <w:rPr>
          <w:rFonts w:ascii="Arial" w:hAnsi="Arial" w:cs="Arial"/>
          <w:color w:val="000000" w:themeColor="text1"/>
          <w:lang w:val="sr-Cyrl-RS" w:eastAsia="sr-Latn-RS"/>
          <w14:textFill>
            <w14:solidFill>
              <w14:schemeClr w14:val="tx1"/>
            </w14:solidFill>
          </w14:textFill>
        </w:rPr>
      </w:pPr>
    </w:p>
    <w:p>
      <w:pPr>
        <w:spacing w:line="276" w:lineRule="auto"/>
        <w:jc w:val="both"/>
        <w:rPr>
          <w:rFonts w:ascii="Arial" w:hAnsi="Arial" w:cs="Arial"/>
          <w:color w:val="000000" w:themeColor="text1"/>
          <w:lang w:val="sr-Cyrl-RS" w:eastAsia="sr-Latn-RS"/>
          <w14:textFill>
            <w14:solidFill>
              <w14:schemeClr w14:val="tx1"/>
            </w14:solidFill>
          </w14:textFill>
        </w:rPr>
      </w:pPr>
      <w:r>
        <w:rPr>
          <w:rFonts w:ascii="Arial" w:hAnsi="Arial" w:cs="Arial"/>
          <w:color w:val="000000" w:themeColor="text1"/>
          <w:lang w:val="sr-Cyrl-RS" w:eastAsia="sr-Latn-RS"/>
          <w14:textFill>
            <w14:solidFill>
              <w14:schemeClr w14:val="tx1"/>
            </w14:solidFill>
          </w14:textFill>
        </w:rPr>
        <w:t>Приликом креирања модела управљања дестинацијом, јединице локалне самоуправе / дестинације треба да се определе за један од наведених модела, а сам избор ће имати даље утицај и на начин и изворе финансирања развоја туризма и атрактивности саме дестинације.</w:t>
      </w:r>
    </w:p>
    <w:p>
      <w:pPr>
        <w:rPr>
          <w:rFonts w:ascii="Arial" w:hAnsi="Arial" w:eastAsia="Calibri" w:cs="Arial"/>
          <w:color w:val="000000" w:themeColor="text1"/>
          <w:lang w:val="sr-Cyrl-RS" w:eastAsia="en-US"/>
          <w14:textFill>
            <w14:solidFill>
              <w14:schemeClr w14:val="tx1"/>
            </w14:solidFill>
          </w14:textFill>
        </w:rPr>
      </w:pPr>
      <w:r>
        <w:rPr>
          <w:rFonts w:ascii="Arial" w:hAnsi="Arial" w:eastAsia="Calibri" w:cs="Arial"/>
          <w:color w:val="000000" w:themeColor="text1"/>
          <w:lang w:val="sr-Cyrl-RS" w:eastAsia="en-US"/>
          <w14:textFill>
            <w14:solidFill>
              <w14:schemeClr w14:val="tx1"/>
            </w14:solidFill>
          </w14:textFill>
        </w:rPr>
        <w:br w:type="page"/>
      </w:r>
    </w:p>
    <w:p>
      <w:pPr>
        <w:pStyle w:val="2"/>
        <w:rPr>
          <w:rFonts w:ascii="Arial" w:hAnsi="Arial" w:cs="Arial"/>
          <w:b/>
          <w:bCs w:val="0"/>
          <w:sz w:val="24"/>
          <w:szCs w:val="24"/>
          <w:lang w:val="sr-Cyrl-RS"/>
        </w:rPr>
      </w:pPr>
      <w:bookmarkStart w:id="96" w:name="_Toc159226543"/>
      <w:r>
        <w:rPr>
          <w:rFonts w:ascii="Arial" w:hAnsi="Arial" w:cs="Arial"/>
          <w:b/>
          <w:bCs w:val="0"/>
          <w:sz w:val="24"/>
          <w:szCs w:val="24"/>
          <w:lang w:val="sr-Cyrl-RS"/>
        </w:rPr>
        <w:t>12 . АКЦИОНИ ПЛАН</w:t>
      </w:r>
      <w:bookmarkEnd w:id="96"/>
    </w:p>
    <w:p>
      <w:pPr>
        <w:spacing w:line="226" w:lineRule="atLeast"/>
        <w:ind w:right="20"/>
        <w:jc w:val="both"/>
        <w:rPr>
          <w:rFonts w:ascii="Arial" w:hAnsi="Arial" w:cs="Arial"/>
          <w:color w:val="000000"/>
          <w:lang w:val="sr-Cyrl-RS"/>
        </w:rPr>
      </w:pPr>
      <w:r>
        <w:rPr>
          <w:rFonts w:ascii="Arial" w:hAnsi="Arial" w:cs="Arial"/>
          <w:color w:val="000000"/>
          <w:lang w:val="sr-Cyrl-RS"/>
        </w:rPr>
        <w:t>Саставни део  Програма је акциони план који се израђује табеларно и садржи опште и појединачне циљеве, предложене мере и инвестиционе и друге пројекте за њихово остваривање, рокове за реализацију, носиоце активности, процењене трошкове и начин финансирања,и очекиване ефекте (индикаторе).</w:t>
      </w:r>
    </w:p>
    <w:p>
      <w:pPr>
        <w:spacing w:line="226" w:lineRule="atLeast"/>
        <w:ind w:right="20"/>
        <w:jc w:val="both"/>
        <w:rPr>
          <w:rFonts w:ascii="Calibri" w:hAnsi="Calibri" w:cs="Calibri"/>
          <w:color w:val="000000"/>
          <w:sz w:val="20"/>
          <w:szCs w:val="20"/>
          <w:lang w:val="sr-Cyrl-RS"/>
        </w:rPr>
      </w:pPr>
    </w:p>
    <w:p>
      <w:pPr>
        <w:spacing w:line="230" w:lineRule="atLeast"/>
        <w:rPr>
          <w:rFonts w:ascii="Calibri" w:hAnsi="Calibri" w:cs="Calibri"/>
          <w:color w:val="000000"/>
          <w:sz w:val="20"/>
          <w:szCs w:val="20"/>
          <w:lang w:val="sr-Cyrl-RS"/>
        </w:rPr>
      </w:pPr>
      <w:r>
        <w:rPr>
          <w:rFonts w:ascii="Arial" w:hAnsi="Arial" w:cs="Arial"/>
          <w:color w:val="000000"/>
          <w:lang w:val="sr-Cyrl-RS"/>
        </w:rPr>
        <w:t>Акционим планом за спровођење Програма развоја туризма дестинације Гаџин Хан - Сува планина до 2027. године конкретизоване су појединачне акције које су дефинисане циљевима и приоритетима Програма развоја.</w:t>
      </w:r>
    </w:p>
    <w:p>
      <w:pPr>
        <w:spacing w:line="276" w:lineRule="auto"/>
        <w:jc w:val="both"/>
        <w:rPr>
          <w:rFonts w:ascii="Arial" w:hAnsi="Arial" w:cs="Arial"/>
          <w:color w:val="000000" w:themeColor="text1"/>
          <w:lang w:val="sr-Latn-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Кључни приоритети, са припадајућим мерама и активностима за њихову реализацију, табеларно су приказани. </w:t>
      </w:r>
    </w:p>
    <w:p>
      <w:pPr>
        <w:spacing w:line="276" w:lineRule="auto"/>
        <w:jc w:val="both"/>
        <w:rPr>
          <w:rFonts w:ascii="Arial" w:hAnsi="Arial" w:cs="Arial"/>
          <w:color w:val="000000" w:themeColor="text1"/>
          <w:lang w:val="sr-Latn-RS"/>
          <w14:textFill>
            <w14:solidFill>
              <w14:schemeClr w14:val="tx1"/>
            </w14:solidFill>
          </w14:textFill>
        </w:rPr>
      </w:pPr>
    </w:p>
    <w:p>
      <w:pPr>
        <w:pStyle w:val="3"/>
      </w:pPr>
      <w:bookmarkStart w:id="97" w:name="_Toc159226544"/>
      <w:r>
        <w:t>12. 1. Преглед развојних пројеката и мера</w:t>
      </w:r>
      <w:bookmarkEnd w:id="97"/>
    </w:p>
    <w:p>
      <w:pPr>
        <w:rPr>
          <w:rFonts w:ascii="Arial" w:hAnsi="Arial" w:cs="Arial"/>
          <w:lang w:val="sr-Cyrl-RS" w:eastAsia="en-US"/>
        </w:rPr>
      </w:pPr>
      <w:r>
        <w:rPr>
          <w:rFonts w:ascii="Arial" w:hAnsi="Arial" w:cs="Arial"/>
          <w:lang w:val="sr-Cyrl-RS" w:eastAsia="en-US"/>
        </w:rPr>
        <w:t>Преглед приоритетних циљева, развојних мера и пројеката.</w:t>
      </w:r>
    </w:p>
    <w:tbl>
      <w:tblPr>
        <w:tblStyle w:val="6"/>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6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spacing w:line="256" w:lineRule="auto"/>
              <w:jc w:val="center"/>
              <w:rPr>
                <w:rFonts w:ascii="Arial" w:hAnsi="Arial" w:cs="Arial" w:eastAsiaTheme="minorHAnsi"/>
                <w:b/>
                <w:color w:val="222A35" w:themeColor="text2" w:themeShade="80"/>
                <w:lang w:val="sr-Cyrl-RS" w:eastAsia="en-US"/>
              </w:rPr>
            </w:pPr>
            <w:r>
              <w:rPr>
                <w:rFonts w:ascii="Arial" w:hAnsi="Arial" w:cs="Arial"/>
                <w:b/>
                <w:color w:val="222A35" w:themeColor="text2" w:themeShade="80"/>
                <w:lang w:val="sr-Cyrl-RS" w:eastAsia="en-US"/>
              </w:rPr>
              <w:t>Приоритетни циљ</w:t>
            </w:r>
          </w:p>
        </w:tc>
        <w:tc>
          <w:tcPr>
            <w:tcW w:w="5528"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pPr>
              <w:spacing w:line="256" w:lineRule="auto"/>
              <w:jc w:val="center"/>
              <w:rPr>
                <w:rFonts w:ascii="Arial" w:hAnsi="Arial" w:cs="Arial" w:eastAsiaTheme="minorHAnsi"/>
                <w:b/>
                <w:color w:val="222A35" w:themeColor="text2" w:themeShade="80"/>
                <w:lang w:val="sr-Cyrl-RS" w:eastAsia="en-US"/>
              </w:rPr>
            </w:pPr>
            <w:r>
              <w:rPr>
                <w:rFonts w:ascii="Arial" w:hAnsi="Arial" w:cs="Arial"/>
                <w:b/>
                <w:color w:val="222A35" w:themeColor="text2" w:themeShade="80"/>
                <w:lang w:val="sr-Cyrl-RS" w:eastAsia="en-US"/>
              </w:rPr>
              <w:t>Мере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4962"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autoSpaceDE w:val="0"/>
              <w:autoSpaceDN w:val="0"/>
              <w:adjustRightInd w:val="0"/>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1 . </w:t>
            </w:r>
            <w:bookmarkStart w:id="98" w:name="_Hlk113202362"/>
            <w:r>
              <w:rPr>
                <w:rFonts w:ascii="Arial" w:hAnsi="Arial" w:cs="Arial"/>
                <w:b/>
                <w:bCs/>
                <w:color w:val="000000" w:themeColor="text1"/>
                <w:lang w:val="sr-Cyrl-RS"/>
                <w14:textFill>
                  <w14:solidFill>
                    <w14:schemeClr w14:val="tx1"/>
                  </w14:solidFill>
                </w14:textFill>
              </w:rPr>
              <w:t>Креирања имиџа туристичке дестинације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Гаџин Хан-Сува планина- Заплање на циљним тржиштима као туристичке дестинације кратких одмора, брдско-планинског туризма, са нагласком на туризам специјалних интереса.</w:t>
            </w:r>
            <w:bookmarkEnd w:id="98"/>
          </w:p>
          <w:p>
            <w:pPr>
              <w:spacing w:line="256" w:lineRule="auto"/>
              <w:rPr>
                <w:rFonts w:ascii="Arial" w:hAnsi="Arial" w:cs="Arial" w:eastAsiaTheme="minorHAnsi"/>
                <w:b/>
                <w:color w:val="222A35" w:themeColor="text2" w:themeShade="80"/>
                <w:lang w:val="sr-Cyrl-RS" w:eastAsia="en-US"/>
              </w:rPr>
            </w:pPr>
          </w:p>
        </w:tc>
        <w:tc>
          <w:tcPr>
            <w:tcW w:w="5528"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numPr>
                <w:ilvl w:val="1"/>
                <w:numId w:val="56"/>
              </w:numPr>
              <w:spacing w:line="256" w:lineRule="auto"/>
              <w:contextualSpacing/>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Сређивање туристичког информативног центра у Доњем Душнику</w:t>
            </w:r>
          </w:p>
          <w:p>
            <w:pPr>
              <w:numPr>
                <w:ilvl w:val="1"/>
                <w:numId w:val="56"/>
              </w:numPr>
              <w:spacing w:line="256" w:lineRule="auto"/>
              <w:contextualSpacing/>
              <w:jc w:val="both"/>
              <w:rPr>
                <w:rFonts w:ascii="Arial" w:hAnsi="Arial" w:cs="Arial" w:eastAsiaTheme="minorHAnsi"/>
                <w:lang w:val="sr-Cyrl-RS" w:eastAsia="en-US"/>
              </w:rPr>
            </w:pPr>
            <w:r>
              <w:rPr>
                <w:rFonts w:ascii="Arial" w:hAnsi="Arial" w:cs="Arial"/>
                <w:lang w:val="sr-Cyrl-RS" w:eastAsia="en-US"/>
              </w:rPr>
              <w:t xml:space="preserve">Изградња стаза за брдско-планински туризам  </w:t>
            </w:r>
          </w:p>
          <w:p>
            <w:pPr>
              <w:spacing w:line="256" w:lineRule="auto"/>
              <w:ind w:left="420"/>
              <w:contextualSpacing/>
              <w:jc w:val="both"/>
              <w:rPr>
                <w:rFonts w:ascii="Arial" w:hAnsi="Arial" w:cs="Arial" w:eastAsiaTheme="minorHAnsi"/>
                <w:color w:val="203864" w:themeColor="accent1" w:themeShade="80"/>
                <w:lang w:val="sr-Cyrl-RS" w:eastAsia="en-US"/>
              </w:rPr>
            </w:pPr>
            <w:r>
              <w:rPr>
                <w:rFonts w:ascii="Arial" w:hAnsi="Arial" w:cs="Arial"/>
                <w:lang w:val="sr-Cyrl-RS" w:eastAsia="en-US"/>
              </w:rPr>
              <w:t>Бициклистичке и пешачке руте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4962"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spacing w:line="256" w:lineRule="auto"/>
              <w:rPr>
                <w:rFonts w:ascii="Arial" w:hAnsi="Arial" w:cs="Arial" w:eastAsiaTheme="minorHAnsi"/>
                <w:b/>
                <w:color w:val="222A35" w:themeColor="text2" w:themeShade="80"/>
                <w:lang w:val="sr-Cyrl-RS" w:eastAsia="en-US"/>
              </w:rPr>
            </w:pPr>
            <w:r>
              <w:rPr>
                <w:rFonts w:ascii="Arial" w:hAnsi="Arial" w:cs="Arial"/>
                <w:color w:val="000000" w:themeColor="text1"/>
                <w:lang w:val="sr-Cyrl-RS" w:eastAsia="en-US"/>
                <w14:textFill>
                  <w14:solidFill>
                    <w14:schemeClr w14:val="tx1"/>
                  </w14:solidFill>
                </w14:textFill>
              </w:rPr>
              <w:t xml:space="preserve">2 . </w:t>
            </w:r>
            <w:r>
              <w:rPr>
                <w:rFonts w:ascii="Arial" w:hAnsi="Arial" w:cs="Arial"/>
                <w:b/>
                <w:bCs/>
                <w:color w:val="000000" w:themeColor="text1"/>
                <w:lang w:val="sr-Cyrl-RS" w:eastAsia="en-US"/>
                <w14:textFill>
                  <w14:solidFill>
                    <w14:schemeClr w14:val="tx1"/>
                  </w14:solidFill>
                </w14:textFill>
              </w:rPr>
              <w:t>Унапређење инфраструктуре и заштита животне средине</w:t>
            </w:r>
            <w:r>
              <w:rPr>
                <w:rFonts w:ascii="Arial" w:hAnsi="Arial" w:cs="Arial"/>
                <w:lang w:val="sr-Cyrl-RS"/>
              </w:rPr>
              <w:t xml:space="preserve"> </w:t>
            </w:r>
            <w:r>
              <w:rPr>
                <w:rFonts w:ascii="Arial" w:hAnsi="Arial" w:cs="Arial"/>
                <w:color w:val="000000" w:themeColor="text1"/>
                <w:lang w:val="sr-Cyrl-RS" w:eastAsia="en-US"/>
                <w14:textFill>
                  <w14:solidFill>
                    <w14:schemeClr w14:val="tx1"/>
                  </w14:solidFill>
                </w14:textFill>
              </w:rPr>
              <w:t xml:space="preserve"> подстицањем нових инвестиција у туристичку инфраструктуру на подручју општине и инвестиција у уређење постојеће инфраструктуре</w:t>
            </w:r>
          </w:p>
        </w:tc>
        <w:tc>
          <w:tcPr>
            <w:tcW w:w="5528"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line="256" w:lineRule="auto"/>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2.1 Интегрисан систем туристичке сигнализације</w:t>
            </w:r>
          </w:p>
          <w:p>
            <w:pPr>
              <w:spacing w:line="256" w:lineRule="auto"/>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2.2 Подизање капацитета за производ кратки одмори кроз инфраструктурно опремање комплекса купалишта са бунгаловима</w:t>
            </w:r>
          </w:p>
          <w:p>
            <w:pPr>
              <w:spacing w:line="256" w:lineRule="auto"/>
              <w:rPr>
                <w:rFonts w:ascii="Arial" w:hAnsi="Arial" w:cs="Arial" w:eastAsiaTheme="minorHAnsi"/>
                <w:lang w:val="sr-Cyrl-RS" w:eastAsia="en-US"/>
              </w:rPr>
            </w:pPr>
            <w:r>
              <w:rPr>
                <w:rFonts w:ascii="Arial" w:hAnsi="Arial" w:cs="Arial"/>
                <w:lang w:val="sr-Cyrl-RS" w:eastAsia="en-US"/>
              </w:rPr>
              <w:t>2.3 Изградња жичаре са гондолама</w:t>
            </w:r>
          </w:p>
          <w:p>
            <w:pPr>
              <w:spacing w:line="256" w:lineRule="auto"/>
              <w:rPr>
                <w:rFonts w:ascii="Arial" w:hAnsi="Arial" w:eastAsia="Calibri" w:cs="Arial"/>
                <w:color w:val="000000" w:themeColor="text1"/>
                <w:lang w:val="sr-Cyrl-RS" w:eastAsia="en-US"/>
                <w14:textFill>
                  <w14:solidFill>
                    <w14:schemeClr w14:val="tx1"/>
                  </w14:solidFill>
                </w14:textFill>
              </w:rPr>
            </w:pPr>
            <w:r>
              <w:rPr>
                <w:rFonts w:ascii="Arial" w:hAnsi="Arial" w:cs="Arial"/>
                <w:lang w:val="sr-Cyrl-RS" w:eastAsia="en-US"/>
              </w:rPr>
              <w:t xml:space="preserve">2.4 </w:t>
            </w:r>
            <w:r>
              <w:rPr>
                <w:rFonts w:ascii="Arial" w:hAnsi="Arial" w:cs="Arial"/>
                <w:color w:val="000000" w:themeColor="text1"/>
                <w:lang w:val="sr-Cyrl-RS" w:eastAsia="en-US"/>
                <w14:textFill>
                  <w14:solidFill>
                    <w14:schemeClr w14:val="tx1"/>
                  </w14:solidFill>
                </w14:textFill>
              </w:rPr>
              <w:t>Адаптација шумарских кућица у ловачке објекте за потребе Ловачко удружење Заплање и изградња ловачког дома</w:t>
            </w:r>
          </w:p>
          <w:p>
            <w:pPr>
              <w:spacing w:line="256" w:lineRule="auto"/>
              <w:rPr>
                <w:rFonts w:ascii="Arial" w:hAnsi="Arial" w:eastAsia="Calibri" w:cs="Arial"/>
                <w:color w:val="0D0D0D" w:themeColor="text1" w:themeTint="F2"/>
                <w:lang w:val="sr-Cyrl-RS"/>
                <w14:textFill>
                  <w14:solidFill>
                    <w14:schemeClr w14:val="tx1">
                      <w14:lumMod w14:val="95000"/>
                      <w14:lumOff w14:val="5000"/>
                    </w14:schemeClr>
                  </w14:solidFill>
                </w14:textFill>
              </w:rPr>
            </w:pPr>
            <w:r>
              <w:rPr>
                <w:rFonts w:ascii="Arial" w:hAnsi="Arial" w:cs="Arial"/>
                <w:color w:val="203864" w:themeColor="accent1" w:themeShade="80"/>
                <w:lang w:val="sr-Cyrl-RS" w:eastAsia="en-US"/>
              </w:rPr>
              <w:t xml:space="preserve">2.5 </w:t>
            </w:r>
            <w:r>
              <w:rPr>
                <w:rFonts w:ascii="Arial" w:hAnsi="Arial" w:cs="Arial"/>
                <w:color w:val="000000" w:themeColor="text1"/>
                <w:lang w:val="sr-Cyrl-RS"/>
                <w14:textFill>
                  <w14:solidFill>
                    <w14:schemeClr w14:val="tx1"/>
                  </w14:solidFill>
                </w14:textFill>
              </w:rPr>
              <w:t xml:space="preserve">Одрживи развој туризма, екологија и </w:t>
            </w:r>
            <w:r>
              <w:rPr>
                <w:rFonts w:ascii="Arial" w:hAnsi="Arial" w:cs="Arial"/>
                <w:lang w:val="sr-Cyrl-RS"/>
              </w:rPr>
              <w:t xml:space="preserve"> </w:t>
            </w:r>
            <w:r>
              <w:rPr>
                <w:rFonts w:ascii="Arial" w:hAnsi="Arial" w:cs="Arial"/>
                <w:color w:val="0D0D0D" w:themeColor="text1" w:themeTint="F2"/>
                <w:lang w:val="sr-Cyrl-RS"/>
                <w14:textFill>
                  <w14:solidFill>
                    <w14:schemeClr w14:val="tx1">
                      <w14:lumMod w14:val="95000"/>
                      <w14:lumOff w14:val="5000"/>
                    </w14:schemeClr>
                  </w14:solidFill>
                </w14:textFill>
              </w:rPr>
              <w:t>управљање отпадом</w:t>
            </w:r>
          </w:p>
          <w:p>
            <w:pPr>
              <w:spacing w:line="256" w:lineRule="auto"/>
              <w:rPr>
                <w:rFonts w:ascii="Arial" w:hAnsi="Arial" w:cs="Arial" w:eastAsiaTheme="minorHAnsi"/>
                <w:color w:val="0D0D0D" w:themeColor="text1" w:themeTint="F2"/>
                <w:lang w:val="sr-Cyrl-RS" w:eastAsia="en-US"/>
                <w14:textFill>
                  <w14:solidFill>
                    <w14:schemeClr w14:val="tx1">
                      <w14:lumMod w14:val="95000"/>
                      <w14:lumOff w14:val="5000"/>
                    </w14:schemeClr>
                  </w14:solidFill>
                </w14:textFill>
              </w:rPr>
            </w:pPr>
            <w:r>
              <w:rPr>
                <w:rFonts w:ascii="Arial" w:hAnsi="Arial" w:cs="Arial"/>
                <w:color w:val="0D0D0D" w:themeColor="text1" w:themeTint="F2"/>
                <w:lang w:val="sr-Cyrl-RS" w:eastAsia="en-US"/>
                <w14:textFill>
                  <w14:solidFill>
                    <w14:schemeClr w14:val="tx1">
                      <w14:lumMod w14:val="95000"/>
                      <w14:lumOff w14:val="5000"/>
                    </w14:schemeClr>
                  </w14:solidFill>
                </w14:textFill>
              </w:rPr>
              <w:t>2.6 Изградња и уређење кампа</w:t>
            </w:r>
          </w:p>
          <w:p>
            <w:pPr>
              <w:spacing w:line="256" w:lineRule="auto"/>
              <w:rPr>
                <w:rFonts w:ascii="Arial" w:hAnsi="Arial" w:cs="Arial" w:eastAsiaTheme="minorHAnsi"/>
                <w:color w:val="203864" w:themeColor="accent1" w:themeShade="80"/>
                <w:lang w:val="sr-Cyrl-RS" w:eastAsia="en-US"/>
              </w:rPr>
            </w:pPr>
            <w:r>
              <w:rPr>
                <w:rFonts w:ascii="Arial" w:hAnsi="Arial" w:cs="Arial"/>
                <w:color w:val="0D0D0D" w:themeColor="text1" w:themeTint="F2"/>
                <w:lang w:val="sr-Cyrl-RS" w:eastAsia="en-US"/>
                <w14:textFill>
                  <w14:solidFill>
                    <w14:schemeClr w14:val="tx1">
                      <w14:lumMod w14:val="95000"/>
                      <w14:lumOff w14:val="5000"/>
                    </w14:schemeClr>
                  </w14:solidFill>
                </w14:textFill>
              </w:rPr>
              <w:t xml:space="preserve">2.7 </w:t>
            </w:r>
            <w:r>
              <w:rPr>
                <w:rFonts w:ascii="Arial" w:hAnsi="Arial" w:cs="Arial"/>
                <w:lang w:val="sr-Cyrl-RS"/>
              </w:rPr>
              <w:t>Ревитализација ентеријера и екстеријера воденица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4962"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pPr>
              <w:spacing w:line="256" w:lineRule="auto"/>
              <w:rPr>
                <w:rFonts w:ascii="Arial" w:hAnsi="Arial" w:cs="Arial" w:eastAsiaTheme="minorHAnsi"/>
                <w:b/>
                <w:color w:val="222A35" w:themeColor="text2" w:themeShade="80"/>
                <w:lang w:val="sr-Cyrl-RS" w:eastAsia="en-US"/>
              </w:rPr>
            </w:pPr>
            <w:r>
              <w:rPr>
                <w:rFonts w:ascii="Arial" w:hAnsi="Arial" w:cs="Arial"/>
                <w:color w:val="000000" w:themeColor="text1"/>
                <w:lang w:val="sr-Cyrl-RS"/>
                <w14:textFill>
                  <w14:solidFill>
                    <w14:schemeClr w14:val="tx1"/>
                  </w14:solidFill>
                </w14:textFill>
              </w:rPr>
              <w:t xml:space="preserve">3 . </w:t>
            </w:r>
            <w:r>
              <w:rPr>
                <w:rFonts w:ascii="Arial" w:hAnsi="Arial" w:cs="Arial"/>
                <w:b/>
                <w:bCs/>
                <w:color w:val="000000" w:themeColor="text1"/>
                <w:lang w:val="sr-Cyrl-RS"/>
                <w14:textFill>
                  <w14:solidFill>
                    <w14:schemeClr w14:val="tx1"/>
                  </w14:solidFill>
                </w14:textFill>
              </w:rPr>
              <w:t>Повећање броја радних места и квалификација у туризму</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делатностима које су повезане са туризмом у оквиру постојећих капацитета.</w:t>
            </w:r>
          </w:p>
        </w:tc>
        <w:tc>
          <w:tcPr>
            <w:tcW w:w="552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pPr>
              <w:spacing w:line="256" w:lineRule="auto"/>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203864" w:themeColor="accent1" w:themeShade="80"/>
                <w:lang w:val="sr-Cyrl-RS" w:eastAsia="en-US"/>
              </w:rPr>
              <w:t xml:space="preserve">3.1 </w:t>
            </w:r>
            <w:r>
              <w:rPr>
                <w:rFonts w:ascii="Arial" w:hAnsi="Arial" w:cs="Arial"/>
                <w:color w:val="000000" w:themeColor="text1"/>
                <w:lang w:val="sr-Cyrl-RS" w:eastAsia="en-US"/>
                <w14:textFill>
                  <w14:solidFill>
                    <w14:schemeClr w14:val="tx1"/>
                  </w14:solidFill>
                </w14:textFill>
              </w:rPr>
              <w:t>Унапређење и развој производа гастрономија и манифестационог туризма</w:t>
            </w:r>
          </w:p>
          <w:p>
            <w:pPr>
              <w:spacing w:line="256" w:lineRule="auto"/>
              <w:rPr>
                <w:rFonts w:ascii="Arial" w:hAnsi="Arial" w:cs="Arial" w:eastAsiaTheme="minorHAnsi"/>
                <w:color w:val="203864" w:themeColor="accent1" w:themeShade="80"/>
                <w:lang w:val="sr-Cyrl-RS" w:eastAsia="en-US"/>
              </w:rPr>
            </w:pPr>
            <w:r>
              <w:rPr>
                <w:rFonts w:ascii="Arial" w:hAnsi="Arial" w:cs="Arial"/>
                <w:color w:val="0D0D0D" w:themeColor="text1" w:themeTint="F2"/>
                <w:lang w:val="sr-Cyrl-RS" w:eastAsia="en-US"/>
                <w14:textFill>
                  <w14:solidFill>
                    <w14:schemeClr w14:val="tx1">
                      <w14:lumMod w14:val="95000"/>
                      <w14:lumOff w14:val="5000"/>
                    </w14:schemeClr>
                  </w14:solidFill>
                </w14:textFill>
              </w:rPr>
              <w:t>3.2 Повећање и унапређење капацитета регистрованих смештајних капацитета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4962" w:type="dxa"/>
            <w:tcBorders>
              <w:top w:val="single" w:color="auto" w:sz="4" w:space="0"/>
              <w:left w:val="single" w:color="auto" w:sz="4" w:space="0"/>
              <w:bottom w:val="single" w:color="auto" w:sz="4" w:space="0"/>
              <w:right w:val="single" w:color="auto" w:sz="4" w:space="0"/>
            </w:tcBorders>
            <w:shd w:val="clear" w:color="auto" w:fill="2E75B5" w:themeFill="accent5" w:themeFillShade="BF"/>
            <w:vAlign w:val="center"/>
          </w:tcPr>
          <w:p>
            <w:pPr>
              <w:spacing w:line="25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4 . </w:t>
            </w:r>
            <w:r>
              <w:rPr>
                <w:rFonts w:ascii="Arial" w:hAnsi="Arial" w:cs="Arial"/>
                <w:b/>
                <w:bCs/>
                <w:color w:val="000000" w:themeColor="text1"/>
                <w:lang w:val="sr-Cyrl-RS"/>
                <w14:textFill>
                  <w14:solidFill>
                    <w14:schemeClr w14:val="tx1"/>
                  </w14:solidFill>
                </w14:textFill>
              </w:rPr>
              <w:t>Унапређење видљивости дестинације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повећање укупних прихода од туризма на дестинацији Гаџин Хан-Сува планина</w:t>
            </w:r>
          </w:p>
        </w:tc>
        <w:tc>
          <w:tcPr>
            <w:tcW w:w="5528" w:type="dxa"/>
            <w:tcBorders>
              <w:top w:val="single" w:color="auto" w:sz="4" w:space="0"/>
              <w:left w:val="single" w:color="auto" w:sz="4" w:space="0"/>
              <w:bottom w:val="single" w:color="auto" w:sz="4" w:space="0"/>
              <w:right w:val="single" w:color="auto" w:sz="4" w:space="0"/>
            </w:tcBorders>
            <w:shd w:val="clear" w:color="auto" w:fill="2E75B5" w:themeFill="accent5" w:themeFillShade="BF"/>
          </w:tcPr>
          <w:p>
            <w:pPr>
              <w:spacing w:line="256" w:lineRule="auto"/>
              <w:rPr>
                <w:rFonts w:ascii="Arial" w:hAnsi="Arial" w:cs="Arial" w:eastAsiaTheme="minorHAnsi"/>
                <w:color w:val="203864" w:themeColor="accent1" w:themeShade="80"/>
                <w:lang w:val="sr-Cyrl-RS" w:eastAsia="en-US"/>
              </w:rPr>
            </w:pPr>
            <w:r>
              <w:rPr>
                <w:rFonts w:ascii="Arial" w:hAnsi="Arial" w:cs="Arial"/>
                <w:color w:val="203864" w:themeColor="accent1" w:themeShade="80"/>
                <w:lang w:val="sr-Cyrl-RS" w:eastAsia="en-US"/>
              </w:rPr>
              <w:t>4.1</w:t>
            </w:r>
            <w:r>
              <w:rPr>
                <w:rFonts w:ascii="Arial" w:hAnsi="Arial" w:cs="Arial"/>
                <w:color w:val="000000" w:themeColor="text1"/>
                <w:lang w:val="sr-Cyrl-RS"/>
                <w14:textFill>
                  <w14:solidFill>
                    <w14:schemeClr w14:val="tx1"/>
                  </w14:solidFill>
                </w14:textFill>
              </w:rPr>
              <w:t xml:space="preserve"> Спровођење оперативног маркетинг плана</w:t>
            </w:r>
          </w:p>
          <w:p>
            <w:pPr>
              <w:spacing w:line="256" w:lineRule="auto"/>
              <w:rPr>
                <w:rFonts w:ascii="Arial" w:hAnsi="Arial" w:cs="Arial" w:eastAsiaTheme="minorHAnsi"/>
                <w:color w:val="203864" w:themeColor="accent1" w:themeShade="80"/>
                <w:lang w:val="sr-Cyrl-RS" w:eastAsia="en-US"/>
              </w:rPr>
            </w:pPr>
            <w:r>
              <w:rPr>
                <w:rFonts w:ascii="Arial" w:hAnsi="Arial" w:cs="Arial"/>
                <w:color w:val="000000" w:themeColor="text1"/>
                <w:lang w:val="sr-Cyrl-RS"/>
                <w14:textFill>
                  <w14:solidFill>
                    <w14:schemeClr w14:val="tx1"/>
                  </w14:solidFill>
                </w14:textFill>
              </w:rPr>
              <w:t>4.2 Постављање мреже дигиталних инфо пунктова / интерактивних тотема на дестинацији</w:t>
            </w:r>
          </w:p>
        </w:tc>
      </w:tr>
    </w:tbl>
    <w:p>
      <w:pPr>
        <w:rPr>
          <w:color w:val="FF0000"/>
          <w:lang w:val="sr-Latn-RS"/>
        </w:rPr>
        <w:sectPr>
          <w:headerReference r:id="rId4" w:type="default"/>
          <w:footerReference r:id="rId5" w:type="default"/>
          <w:type w:val="continuous"/>
          <w:pgSz w:w="11906" w:h="16838"/>
          <w:pgMar w:top="1440" w:right="1440" w:bottom="1440" w:left="1440" w:header="709" w:footer="283" w:gutter="0"/>
          <w:cols w:space="708" w:num="1"/>
          <w:titlePg/>
          <w:docGrid w:linePitch="360" w:charSpace="0"/>
        </w:sectPr>
      </w:pPr>
    </w:p>
    <w:p>
      <w:pPr>
        <w:rPr>
          <w:color w:val="FF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rFonts w:ascii="Arial" w:hAnsi="Arial" w:cs="Arial"/>
          <w:color w:val="000000"/>
          <w:lang w:val="sr-Latn-RS"/>
        </w:rPr>
      </w:pPr>
    </w:p>
    <w:p>
      <w:pPr>
        <w:rPr>
          <w:lang w:val="ru-RU"/>
        </w:rPr>
      </w:pPr>
      <w:r>
        <w:rPr>
          <w:rFonts w:ascii="Arial" w:hAnsi="Arial" w:cs="Arial"/>
          <w:color w:val="000000"/>
          <w:lang w:val="sr-Cyrl-RS"/>
        </w:rPr>
        <w:t>Акциони план за спровођење Програма развоја туризма дестинације Гаџин Хан</w:t>
      </w:r>
    </w:p>
    <w:p>
      <w:pPr>
        <w:rPr>
          <w:color w:val="FF0000"/>
          <w:lang w:val="sr-Latn-RS"/>
        </w:rPr>
      </w:pPr>
    </w:p>
    <w:p>
      <w:pPr>
        <w:rPr>
          <w:color w:val="FF0000"/>
          <w:lang w:val="sr-Latn-RS"/>
        </w:rPr>
      </w:pPr>
    </w:p>
    <w:p>
      <w:pPr>
        <w:rPr>
          <w:color w:val="FF0000"/>
          <w:lang w:val="sr-Latn-RS"/>
        </w:rPr>
        <w:sectPr>
          <w:pgSz w:w="11906" w:h="16838"/>
          <w:pgMar w:top="1440" w:right="1440" w:bottom="1440" w:left="1440" w:header="709" w:footer="283" w:gutter="0"/>
          <w:cols w:space="708" w:num="1"/>
          <w:titlePg/>
          <w:docGrid w:linePitch="360" w:charSpace="0"/>
        </w:sectPr>
      </w:pPr>
    </w:p>
    <w:p>
      <w:pPr>
        <w:rPr>
          <w:rFonts w:ascii="Arial" w:hAnsi="Arial" w:cs="Arial"/>
          <w:lang w:val="ru-RU"/>
        </w:rPr>
      </w:pPr>
      <w:r>
        <w:rPr>
          <w:rFonts w:ascii="Arial" w:hAnsi="Arial" w:cs="Arial"/>
          <w:lang w:val="sr-Cyrl-RS"/>
        </w:rPr>
        <w:t>Табела бр.</w:t>
      </w:r>
      <w:r>
        <w:rPr>
          <w:rFonts w:ascii="Arial" w:hAnsi="Arial" w:cs="Arial"/>
          <w:lang w:val="sr-Latn-RS"/>
        </w:rPr>
        <w:t xml:space="preserve"> 10. </w:t>
      </w:r>
      <w:r>
        <w:rPr>
          <w:rFonts w:ascii="Arial" w:hAnsi="Arial" w:cs="Arial"/>
          <w:lang w:val="sr-Cyrl-RS"/>
        </w:rPr>
        <w:t xml:space="preserve"> </w:t>
      </w:r>
      <w:r>
        <w:rPr>
          <w:rFonts w:ascii="Arial" w:hAnsi="Arial" w:cs="Arial"/>
          <w:color w:val="000000"/>
          <w:lang w:val="sr-Cyrl-RS"/>
        </w:rPr>
        <w:t>Акциони план за спровођење Програма развоја туризма дестинације Гаџин Хан</w:t>
      </w: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010"/>
        <w:gridCol w:w="3186"/>
        <w:gridCol w:w="1654"/>
        <w:gridCol w:w="1589"/>
        <w:gridCol w:w="2557"/>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shd w:val="clear" w:color="auto" w:fill="D9E2F3" w:themeFill="accent1" w:themeFillTint="33"/>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Креирања имиџа туристичке дестинације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b/>
                <w:bCs/>
                <w:lang w:val="sr-Cyrl-RS"/>
              </w:rPr>
            </w:pPr>
            <w:r>
              <w:rPr>
                <w:rFonts w:ascii="Arial" w:hAnsi="Arial" w:cs="Arial"/>
                <w:b/>
                <w:bCs/>
                <w:lang w:val="sr-Cyrl-RS"/>
              </w:rPr>
              <w:t>Оперативни циљ</w:t>
            </w:r>
          </w:p>
        </w:tc>
        <w:tc>
          <w:tcPr>
            <w:tcW w:w="2040" w:type="dxa"/>
          </w:tcPr>
          <w:p>
            <w:pPr>
              <w:rPr>
                <w:rFonts w:ascii="Arial" w:hAnsi="Arial" w:cs="Arial"/>
                <w:b/>
                <w:bCs/>
                <w:lang w:val="sr-Cyrl-RS"/>
              </w:rPr>
            </w:pPr>
            <w:r>
              <w:rPr>
                <w:rFonts w:ascii="Arial" w:hAnsi="Arial" w:cs="Arial"/>
                <w:b/>
                <w:bCs/>
                <w:lang w:val="sr-Cyrl-RS"/>
              </w:rPr>
              <w:t>Мера 1.1</w:t>
            </w:r>
          </w:p>
        </w:tc>
        <w:tc>
          <w:tcPr>
            <w:tcW w:w="3208" w:type="dxa"/>
          </w:tcPr>
          <w:p>
            <w:pPr>
              <w:rPr>
                <w:rFonts w:ascii="Arial" w:hAnsi="Arial" w:cs="Arial"/>
                <w:b/>
                <w:bCs/>
              </w:rPr>
            </w:pPr>
            <w:r>
              <w:rPr>
                <w:rFonts w:ascii="Arial" w:hAnsi="Arial" w:cs="Arial"/>
                <w:b/>
                <w:bCs/>
                <w:lang w:val="sr-Cyrl-RS"/>
              </w:rPr>
              <w:t>Активност/Пројекат</w:t>
            </w:r>
          </w:p>
        </w:tc>
        <w:tc>
          <w:tcPr>
            <w:tcW w:w="1517" w:type="dxa"/>
          </w:tcPr>
          <w:p>
            <w:pPr>
              <w:rPr>
                <w:rFonts w:ascii="Arial" w:hAnsi="Arial" w:cs="Arial"/>
                <w:b/>
                <w:bCs/>
                <w:lang w:val="sr-Cyrl-RS"/>
              </w:rPr>
            </w:pPr>
            <w:r>
              <w:rPr>
                <w:rFonts w:ascii="Arial" w:hAnsi="Arial" w:cs="Arial"/>
                <w:b/>
                <w:bCs/>
                <w:lang w:val="sr-Cyrl-RS"/>
              </w:rPr>
              <w:t>Oдговорне институције</w:t>
            </w:r>
          </w:p>
        </w:tc>
        <w:tc>
          <w:tcPr>
            <w:tcW w:w="1611" w:type="dxa"/>
          </w:tcPr>
          <w:p>
            <w:pPr>
              <w:rPr>
                <w:rFonts w:ascii="Arial" w:hAnsi="Arial" w:cs="Arial"/>
                <w:b/>
                <w:bCs/>
                <w:lang w:val="sr-Cyrl-RS"/>
              </w:rPr>
            </w:pPr>
            <w:r>
              <w:rPr>
                <w:rFonts w:ascii="Arial" w:hAnsi="Arial" w:cs="Arial"/>
                <w:b/>
                <w:bCs/>
                <w:lang w:val="sr-Cyrl-RS"/>
              </w:rPr>
              <w:t>Време реализације крајњи рок:</w:t>
            </w:r>
          </w:p>
        </w:tc>
        <w:tc>
          <w:tcPr>
            <w:tcW w:w="2577" w:type="dxa"/>
          </w:tcPr>
          <w:p>
            <w:pPr>
              <w:rPr>
                <w:rFonts w:ascii="Arial" w:hAnsi="Arial" w:cs="Arial"/>
                <w:b/>
                <w:bCs/>
                <w:lang w:val="sr-Cyrl-RS"/>
              </w:rPr>
            </w:pPr>
            <w:r>
              <w:rPr>
                <w:rFonts w:ascii="Arial" w:hAnsi="Arial" w:cs="Arial"/>
                <w:b/>
                <w:bCs/>
                <w:lang w:val="sr-Cyrl-RS"/>
              </w:rPr>
              <w:t>Извори финансирања:</w:t>
            </w:r>
          </w:p>
        </w:tc>
        <w:tc>
          <w:tcPr>
            <w:tcW w:w="1676"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 xml:space="preserve">Подизање нивоа квантитета и квалитета пружања туристичких информација везаних за туристичку понуду Гаџиног Хана </w:t>
            </w:r>
          </w:p>
        </w:tc>
        <w:tc>
          <w:tcPr>
            <w:tcW w:w="2040"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Сређивање туристичког информативног центра у Доњем Душнику</w:t>
            </w:r>
          </w:p>
        </w:tc>
        <w:tc>
          <w:tcPr>
            <w:tcW w:w="3208" w:type="dxa"/>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-Израда пројекта уређења инфо дела </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-Грађевински радови </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-Набавка намештаја и опреме (компјутера и таблета)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-Брендирање инфо центра </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-Уређење посебног дела за промоцију дестинације (лед екран, брошуре и постери великог формата на зиду)</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-Набавка и израда сувенира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-Боље повезивање са информативним центром у Нишу</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-Додатна обука и едукација запослених за пружање информација – стандардизоване</w:t>
            </w:r>
          </w:p>
          <w:p>
            <w:pPr>
              <w:rPr>
                <w:rFonts w:ascii="Arial" w:hAnsi="Arial" w:cs="Arial"/>
                <w:lang w:val="sr-Cyrl-RS"/>
              </w:rPr>
            </w:pPr>
            <w:r>
              <w:rPr>
                <w:rFonts w:ascii="Arial" w:hAnsi="Arial" w:cs="Arial"/>
                <w:color w:val="000000" w:themeColor="text1"/>
                <w:lang w:val="sr-Cyrl-RS"/>
                <w14:textFill>
                  <w14:solidFill>
                    <w14:schemeClr w14:val="tx1"/>
                  </w14:solidFill>
                </w14:textFill>
              </w:rPr>
              <w:t>-Унапређење или успостављање сарадње са локалном привредом</w:t>
            </w:r>
          </w:p>
        </w:tc>
        <w:tc>
          <w:tcPr>
            <w:tcW w:w="151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Општина Гаџин Хан и ТО Гаџин Хан</w:t>
            </w:r>
          </w:p>
        </w:tc>
        <w:tc>
          <w:tcPr>
            <w:tcW w:w="1611" w:type="dxa"/>
          </w:tcPr>
          <w:p>
            <w:pPr>
              <w:pStyle w:val="51"/>
              <w:numPr>
                <w:ilvl w:val="1"/>
                <w:numId w:val="57"/>
              </w:numPr>
              <w:rPr>
                <w:rFonts w:ascii="Arial" w:hAnsi="Arial" w:cs="Arial"/>
                <w:lang w:val="sr-Cyrl-RS"/>
              </w:rPr>
            </w:pPr>
            <w:r>
              <w:rPr>
                <w:rFonts w:ascii="Arial" w:hAnsi="Arial" w:cs="Arial"/>
                <w:color w:val="000000" w:themeColor="text1"/>
                <w:lang w:val="sr-Cyrl-RS"/>
                <w14:textFill>
                  <w14:solidFill>
                    <w14:schemeClr w14:val="tx1"/>
                  </w14:solidFill>
                </w14:textFill>
              </w:rPr>
              <w:t xml:space="preserve"> године</w:t>
            </w:r>
          </w:p>
        </w:tc>
        <w:tc>
          <w:tcPr>
            <w:tcW w:w="2577" w:type="dxa"/>
          </w:tcPr>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Општина Гаџин Хан </w:t>
            </w:r>
          </w:p>
          <w:p>
            <w:pPr>
              <w:rPr>
                <w:rFonts w:ascii="Arial" w:hAnsi="Arial" w:cs="Arial"/>
                <w:lang w:val="sr-Cyrl-RS"/>
              </w:rPr>
            </w:pPr>
          </w:p>
          <w:p>
            <w:pPr>
              <w:rPr>
                <w:rFonts w:ascii="Arial" w:hAnsi="Arial" w:cs="Arial"/>
                <w:color w:val="FF0000"/>
                <w:lang w:val="sr-Cyrl-RS"/>
              </w:rPr>
            </w:pPr>
          </w:p>
        </w:tc>
        <w:tc>
          <w:tcPr>
            <w:tcW w:w="1676" w:type="dxa"/>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посетилаца у инфо центру</w:t>
            </w:r>
          </w:p>
          <w:p>
            <w:pPr>
              <w:spacing w:line="276" w:lineRule="auto"/>
              <w:jc w:val="both"/>
              <w:rPr>
                <w:rFonts w:ascii="Arial" w:hAnsi="Arial" w:cs="Arial"/>
                <w:color w:val="000000" w:themeColor="text1"/>
                <w:lang w:val="sr-Cyrl-RS"/>
                <w14:textFill>
                  <w14:solidFill>
                    <w14:schemeClr w14:val="tx1"/>
                  </w14:solidFill>
                </w14:textFill>
              </w:rPr>
            </w:pP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преузетих брошура</w:t>
            </w:r>
          </w:p>
          <w:p>
            <w:pPr>
              <w:rPr>
                <w:rFonts w:ascii="Arial" w:hAnsi="Arial" w:cs="Arial"/>
                <w:lang w:val="sr-Cyrl-RS"/>
              </w:rPr>
            </w:pPr>
            <w:r>
              <w:rPr>
                <w:rFonts w:ascii="Arial" w:hAnsi="Arial" w:cs="Arial"/>
                <w:color w:val="000000" w:themeColor="text1"/>
                <w:lang w:val="sr-Cyrl-RS"/>
                <w14:textFill>
                  <w14:solidFill>
                    <w14:schemeClr w14:val="tx1"/>
                  </w14:solidFill>
                </w14:textFill>
              </w:rPr>
              <w:t>Број задовољних туриста пруженом услугом</w:t>
            </w:r>
          </w:p>
        </w:tc>
      </w:tr>
    </w:tbl>
    <w:p>
      <w:pPr>
        <w:rPr>
          <w:rFonts w:ascii="Arial" w:hAnsi="Arial" w:cs="Arial"/>
          <w:lang w:val="ru-RU"/>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1826"/>
        <w:gridCol w:w="3043"/>
        <w:gridCol w:w="1654"/>
        <w:gridCol w:w="1540"/>
        <w:gridCol w:w="2413"/>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shd w:val="clear" w:color="auto" w:fill="D9E2F3" w:themeFill="accent1" w:themeFillTint="33"/>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Креирања имиџа туристичке дестинације и туристичког производа планински туризам, са посебним акцентом на бициклизам и пешачење и њихово позиционирање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Pr>
          <w:p>
            <w:pPr>
              <w:rPr>
                <w:rFonts w:ascii="Arial" w:hAnsi="Arial" w:cs="Arial"/>
                <w:b/>
                <w:bCs/>
                <w:lang w:val="sr-Cyrl-RS"/>
              </w:rPr>
            </w:pPr>
            <w:r>
              <w:rPr>
                <w:rFonts w:ascii="Arial" w:hAnsi="Arial" w:cs="Arial"/>
                <w:b/>
                <w:bCs/>
                <w:lang w:val="sr-Cyrl-RS"/>
              </w:rPr>
              <w:t>Оперативни циљ</w:t>
            </w:r>
          </w:p>
        </w:tc>
        <w:tc>
          <w:tcPr>
            <w:tcW w:w="2046" w:type="dxa"/>
          </w:tcPr>
          <w:p>
            <w:pPr>
              <w:rPr>
                <w:rFonts w:ascii="Arial" w:hAnsi="Arial" w:cs="Arial"/>
                <w:b/>
                <w:bCs/>
                <w:lang w:val="sr-Cyrl-RS"/>
              </w:rPr>
            </w:pPr>
            <w:r>
              <w:rPr>
                <w:rFonts w:ascii="Arial" w:hAnsi="Arial" w:cs="Arial"/>
                <w:b/>
                <w:bCs/>
                <w:lang w:val="sr-Cyrl-RS"/>
              </w:rPr>
              <w:t>Мера 1.2</w:t>
            </w:r>
          </w:p>
        </w:tc>
        <w:tc>
          <w:tcPr>
            <w:tcW w:w="3137"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496" w:type="dxa"/>
          </w:tcPr>
          <w:p>
            <w:pPr>
              <w:rPr>
                <w:rFonts w:ascii="Arial" w:hAnsi="Arial" w:cs="Arial"/>
                <w:b/>
                <w:bCs/>
                <w:lang w:val="sr-Cyrl-RS"/>
              </w:rPr>
            </w:pPr>
            <w:r>
              <w:rPr>
                <w:rFonts w:ascii="Arial" w:hAnsi="Arial" w:cs="Arial"/>
                <w:b/>
                <w:bCs/>
                <w:lang w:val="sr-Cyrl-RS"/>
              </w:rPr>
              <w:t>Извори финансирања:</w:t>
            </w:r>
          </w:p>
        </w:tc>
        <w:tc>
          <w:tcPr>
            <w:tcW w:w="1670"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Развој и унапређење бициклистичких и пешачких стаза на дестинацији</w:t>
            </w:r>
          </w:p>
        </w:tc>
        <w:tc>
          <w:tcPr>
            <w:tcW w:w="2046" w:type="dxa"/>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стаза за планински туризам -бициклистичке и пешачке руте</w:t>
            </w:r>
          </w:p>
        </w:tc>
        <w:tc>
          <w:tcPr>
            <w:tcW w:w="3137" w:type="dxa"/>
          </w:tcPr>
          <w:p>
            <w:pPr>
              <w:autoSpaceDE w:val="0"/>
              <w:adjustRightInd w:val="0"/>
              <w:spacing w:after="120"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студије бициклизма, пешачења и планинарења са јасно дефинисаним стазама и осталим пратећим елементима.</w:t>
            </w:r>
          </w:p>
          <w:p>
            <w:pPr>
              <w:autoSpaceDE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-Развој нових (уз надоградњу постојећих) стаза које би требало да укључе обележавање, сигнализацију, осветљење стаза и дуге припадајуће садржаје. </w:t>
            </w:r>
          </w:p>
          <w:p>
            <w:pPr>
              <w:autoSpaceDE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-Интеграција туристичке супраструктуре; развој и понуда смештајних капацитета који подржавају овај производ и нуде комплементарне услуге овом производу (успостављање рент-а-бике система у складу са постојећом студијом изводљивости на дестинацији за изнајмљивање бицикла, опреме и сл.)</w:t>
            </w:r>
          </w:p>
          <w:p>
            <w:pPr>
              <w:autoSpaceDE w:val="0"/>
              <w:adjustRightInd w:val="0"/>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-Набавка 10 бициклова за изнајмљивање у инфо центру</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-Израда мапа и брошура, организација догађаја (трке, промо туре и сл.), креирање туристичког пакета </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-Промоција производа бициклизам и пешачке руте.</w:t>
            </w:r>
          </w:p>
        </w:tc>
        <w:tc>
          <w:tcPr>
            <w:tcW w:w="160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Туристичка организација општине Гаџин Хан</w:t>
            </w:r>
          </w:p>
        </w:tc>
        <w:tc>
          <w:tcPr>
            <w:tcW w:w="1651" w:type="dxa"/>
          </w:tcPr>
          <w:p>
            <w:pPr>
              <w:rPr>
                <w:rFonts w:ascii="Arial" w:hAnsi="Arial" w:cs="Arial"/>
                <w:lang w:val="sr-Cyrl-RS"/>
              </w:rPr>
            </w:pPr>
            <w:r>
              <w:rPr>
                <w:rFonts w:ascii="Arial" w:hAnsi="Arial" w:cs="Arial"/>
                <w:lang w:val="sr-Cyrl-RS"/>
              </w:rPr>
              <w:t>2 године</w:t>
            </w:r>
          </w:p>
        </w:tc>
        <w:tc>
          <w:tcPr>
            <w:tcW w:w="2496" w:type="dxa"/>
          </w:tcPr>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Општина Гаџин Хан</w:t>
            </w:r>
          </w:p>
          <w:p>
            <w:pPr>
              <w:rPr>
                <w:rFonts w:ascii="Arial" w:hAnsi="Arial" w:cs="Arial"/>
                <w:lang w:val="sr-Cyrl-RS"/>
              </w:rPr>
            </w:pPr>
            <w:r>
              <w:rPr>
                <w:rFonts w:ascii="Arial" w:hAnsi="Arial" w:cs="Arial"/>
                <w:lang w:val="sr-Cyrl-RS"/>
              </w:rPr>
              <w:t>Средства донатора</w:t>
            </w:r>
          </w:p>
          <w:p>
            <w:pPr>
              <w:rPr>
                <w:rFonts w:ascii="Arial" w:hAnsi="Arial" w:cs="Arial"/>
                <w:lang w:val="sr-Cyrl-RS"/>
              </w:rPr>
            </w:pPr>
            <w:r>
              <w:rPr>
                <w:rFonts w:ascii="Arial" w:hAnsi="Arial" w:cs="Arial"/>
                <w:lang w:val="sr-Cyrl-RS"/>
              </w:rPr>
              <w:t>(ЕУ фондови)</w:t>
            </w:r>
          </w:p>
          <w:p>
            <w:pPr>
              <w:rPr>
                <w:rFonts w:ascii="Arial" w:hAnsi="Arial" w:cs="Arial"/>
                <w:color w:val="C00000"/>
                <w:lang w:val="sr-Cyrl-RS"/>
              </w:rPr>
            </w:pPr>
          </w:p>
          <w:p>
            <w:pPr>
              <w:rPr>
                <w:rFonts w:ascii="Arial" w:hAnsi="Arial" w:cs="Arial"/>
                <w:color w:val="C00000"/>
                <w:lang w:val="sr-Cyrl-RS"/>
              </w:rPr>
            </w:pPr>
          </w:p>
        </w:tc>
        <w:tc>
          <w:tcPr>
            <w:tcW w:w="1670" w:type="dxa"/>
          </w:tcPr>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-Израђена просторно-планска документација</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-Спроведен процес јавних набавки</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-Квантитет и квалитет постојећих бициклистичких и пешачких стаза са припадајућом  </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инфраструктуром</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постављених информативних табли, клупа, </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канти , и сл.</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догађаја који промовишу производ</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одштампаних брошура, мапа и другог </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промотивног материјала</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-Купљено 10 бициклова</w:t>
            </w:r>
            <w:r>
              <w:rPr>
                <w:rFonts w:ascii="Arial" w:hAnsi="Arial" w:cs="Arial"/>
                <w:color w:val="000000" w:themeColor="text1"/>
                <w:lang w:val="sr-Cyrl-RS"/>
                <w14:textFill>
                  <w14:solidFill>
                    <w14:schemeClr w14:val="tx1"/>
                  </w14:solidFill>
                </w14:textFill>
              </w:rPr>
              <w:tab/>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-Медијски извештаји</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задовољних туриста и посетилаца који конзумирају овај производ</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2026"/>
        <w:gridCol w:w="3170"/>
        <w:gridCol w:w="1654"/>
        <w:gridCol w:w="1573"/>
        <w:gridCol w:w="2542"/>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Креирања имиџа туристичке дестинације - унапређење видљивости туристичких атракција и производа дестинације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b/>
                <w:bCs/>
                <w:lang w:val="sr-Cyrl-RS"/>
              </w:rPr>
            </w:pPr>
            <w:r>
              <w:rPr>
                <w:rFonts w:ascii="Arial" w:hAnsi="Arial" w:cs="Arial"/>
                <w:b/>
                <w:bCs/>
                <w:lang w:val="sr-Cyrl-RS"/>
              </w:rPr>
              <w:t>Оперативни циљ</w:t>
            </w:r>
          </w:p>
        </w:tc>
        <w:tc>
          <w:tcPr>
            <w:tcW w:w="2040" w:type="dxa"/>
          </w:tcPr>
          <w:p>
            <w:pPr>
              <w:rPr>
                <w:rFonts w:ascii="Arial" w:hAnsi="Arial" w:cs="Arial"/>
                <w:b/>
                <w:bCs/>
                <w:lang w:val="sr-Cyrl-RS"/>
              </w:rPr>
            </w:pPr>
            <w:r>
              <w:rPr>
                <w:rFonts w:ascii="Arial" w:hAnsi="Arial" w:cs="Arial"/>
                <w:b/>
                <w:bCs/>
                <w:lang w:val="sr-Cyrl-RS"/>
              </w:rPr>
              <w:t>Мера 2.1</w:t>
            </w:r>
          </w:p>
        </w:tc>
        <w:tc>
          <w:tcPr>
            <w:tcW w:w="3208" w:type="dxa"/>
          </w:tcPr>
          <w:p>
            <w:pPr>
              <w:rPr>
                <w:rFonts w:ascii="Arial" w:hAnsi="Arial" w:cs="Arial"/>
                <w:b/>
                <w:bCs/>
              </w:rPr>
            </w:pPr>
            <w:r>
              <w:rPr>
                <w:rFonts w:ascii="Arial" w:hAnsi="Arial" w:cs="Arial"/>
                <w:b/>
                <w:bCs/>
                <w:lang w:val="sr-Cyrl-RS"/>
              </w:rPr>
              <w:t>Активност/Пројекат</w:t>
            </w:r>
          </w:p>
        </w:tc>
        <w:tc>
          <w:tcPr>
            <w:tcW w:w="1517" w:type="dxa"/>
          </w:tcPr>
          <w:p>
            <w:pPr>
              <w:rPr>
                <w:rFonts w:ascii="Arial" w:hAnsi="Arial" w:cs="Arial"/>
                <w:b/>
                <w:bCs/>
                <w:lang w:val="sr-Cyrl-RS"/>
              </w:rPr>
            </w:pPr>
            <w:r>
              <w:rPr>
                <w:rFonts w:ascii="Arial" w:hAnsi="Arial" w:cs="Arial"/>
                <w:b/>
                <w:bCs/>
                <w:lang w:val="sr-Cyrl-RS"/>
              </w:rPr>
              <w:t>Одговорне институције</w:t>
            </w:r>
          </w:p>
        </w:tc>
        <w:tc>
          <w:tcPr>
            <w:tcW w:w="1611" w:type="dxa"/>
          </w:tcPr>
          <w:p>
            <w:pPr>
              <w:rPr>
                <w:rFonts w:ascii="Arial" w:hAnsi="Arial" w:cs="Arial"/>
                <w:b/>
                <w:bCs/>
                <w:lang w:val="sr-Cyrl-RS"/>
              </w:rPr>
            </w:pPr>
            <w:r>
              <w:rPr>
                <w:rFonts w:ascii="Arial" w:hAnsi="Arial" w:cs="Arial"/>
                <w:b/>
                <w:bCs/>
                <w:lang w:val="sr-Cyrl-RS"/>
              </w:rPr>
              <w:t>Време реализације крајњи рок:</w:t>
            </w:r>
          </w:p>
        </w:tc>
        <w:tc>
          <w:tcPr>
            <w:tcW w:w="2577" w:type="dxa"/>
          </w:tcPr>
          <w:p>
            <w:pPr>
              <w:rPr>
                <w:rFonts w:ascii="Arial" w:hAnsi="Arial" w:cs="Arial"/>
                <w:b/>
                <w:bCs/>
                <w:lang w:val="sr-Cyrl-RS"/>
              </w:rPr>
            </w:pPr>
            <w:r>
              <w:rPr>
                <w:rFonts w:ascii="Arial" w:hAnsi="Arial" w:cs="Arial"/>
                <w:b/>
                <w:bCs/>
                <w:lang w:val="sr-Cyrl-RS"/>
              </w:rPr>
              <w:t>Извори финансирања:</w:t>
            </w:r>
          </w:p>
        </w:tc>
        <w:tc>
          <w:tcPr>
            <w:tcW w:w="1676"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Израда и постављање туристичке сигнализације</w:t>
            </w:r>
          </w:p>
        </w:tc>
        <w:tc>
          <w:tcPr>
            <w:tcW w:w="2040"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Интегрисан систем туристичке сигнализације</w:t>
            </w:r>
          </w:p>
        </w:tc>
        <w:tc>
          <w:tcPr>
            <w:tcW w:w="3208" w:type="dxa"/>
          </w:tcPr>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пројектно-техничке документације</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-Прибављање дозвола за изглед и постављање ознака од надлежних институција</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-Израда и постављање сигнализације (табле добродошлице, путокази, ознаке за појединачне објекте, информативне табле у селима и у Гаџином Хану, мапе)</w:t>
            </w:r>
          </w:p>
        </w:tc>
        <w:tc>
          <w:tcPr>
            <w:tcW w:w="151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Општина Гаџин Хан  и Туристичка организација општине Гаџин Хан</w:t>
            </w:r>
          </w:p>
        </w:tc>
        <w:tc>
          <w:tcPr>
            <w:tcW w:w="1611" w:type="dxa"/>
          </w:tcPr>
          <w:p>
            <w:pPr>
              <w:rPr>
                <w:rFonts w:ascii="Arial" w:hAnsi="Arial" w:cs="Arial"/>
                <w:lang w:val="sr-Cyrl-RS"/>
              </w:rPr>
            </w:pPr>
            <w:r>
              <w:rPr>
                <w:rFonts w:ascii="Arial" w:hAnsi="Arial" w:cs="Arial"/>
                <w:lang w:val="sr-Cyrl-RS"/>
              </w:rPr>
              <w:t>1-2 године</w:t>
            </w:r>
          </w:p>
        </w:tc>
        <w:tc>
          <w:tcPr>
            <w:tcW w:w="2577" w:type="dxa"/>
          </w:tcPr>
          <w:p>
            <w:pPr>
              <w:rPr>
                <w:rFonts w:ascii="Arial" w:hAnsi="Arial" w:cs="Arial"/>
                <w:lang w:val="sr-Cyrl-RS"/>
              </w:rPr>
            </w:pPr>
            <w:r>
              <w:rPr>
                <w:rFonts w:ascii="Arial" w:hAnsi="Arial" w:cs="Arial"/>
                <w:lang w:val="sr-Cyrl-RS"/>
              </w:rPr>
              <w:t xml:space="preserve">Општина Гаџин Хан </w:t>
            </w:r>
          </w:p>
          <w:p>
            <w:pPr>
              <w:rPr>
                <w:rFonts w:ascii="Arial" w:hAnsi="Arial" w:cs="Arial"/>
                <w:lang w:val="sr-Cyrl-RS"/>
              </w:rPr>
            </w:pPr>
            <w:r>
              <w:rPr>
                <w:rFonts w:ascii="Arial" w:hAnsi="Arial" w:cs="Arial"/>
                <w:lang w:val="sr-Cyrl-RS"/>
              </w:rPr>
              <w:t>Министарство туризма и омладине</w:t>
            </w:r>
          </w:p>
          <w:p>
            <w:pPr>
              <w:rPr>
                <w:rFonts w:ascii="Arial" w:hAnsi="Arial" w:cs="Arial"/>
                <w:lang w:val="sr-Cyrl-RS"/>
              </w:rPr>
            </w:pPr>
            <w:r>
              <w:rPr>
                <w:rFonts w:ascii="Arial" w:hAnsi="Arial" w:cs="Arial"/>
                <w:lang w:val="sr-Cyrl-RS"/>
              </w:rPr>
              <w:t>Средства донатора</w:t>
            </w:r>
          </w:p>
          <w:p>
            <w:pPr>
              <w:rPr>
                <w:rFonts w:ascii="Arial" w:hAnsi="Arial" w:cs="Arial"/>
                <w:color w:val="FF0000"/>
                <w:lang w:val="sr-Cyrl-RS"/>
              </w:rPr>
            </w:pPr>
          </w:p>
        </w:tc>
        <w:tc>
          <w:tcPr>
            <w:tcW w:w="1676" w:type="dxa"/>
          </w:tcPr>
          <w:p>
            <w:pPr>
              <w:suppressAutoHyphens/>
              <w:autoSpaceDN w:val="0"/>
              <w:spacing w:after="160"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путоказа, инфо табли и других ознака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позитивних утисака туриста – Спроводи ТО Гаџин Хан - Попуњавање анкетних листића </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2022"/>
        <w:gridCol w:w="3178"/>
        <w:gridCol w:w="1654"/>
        <w:gridCol w:w="1581"/>
        <w:gridCol w:w="2549"/>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autoSpaceDE w:val="0"/>
              <w:autoSpaceDN w:val="0"/>
              <w:adjustRightInd w:val="0"/>
              <w:spacing w:line="276" w:lineRule="auto"/>
              <w:ind w:left="720" w:hanging="720"/>
              <w:jc w:val="both"/>
              <w:rPr>
                <w:rFonts w:ascii="Arial" w:hAnsi="Arial" w:cs="Arial"/>
                <w:color w:val="000000" w:themeColor="text1"/>
                <w:lang w:val="sr-Cyrl-RS"/>
                <w14:textFill>
                  <w14:solidFill>
                    <w14:schemeClr w14:val="tx1"/>
                  </w14:solidFill>
                </w14:textFill>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color w:val="000000" w:themeColor="text1"/>
                <w:lang w:val="sr-Cyrl-RS"/>
                <w14:textFill>
                  <w14:solidFill>
                    <w14:schemeClr w14:val="tx1"/>
                  </w14:solidFill>
                </w14:textFill>
              </w:rPr>
              <w:t>Унапређење инфраструктуре и супраструктуре у области сеоског, планинског туризма, као и туризма специјалних интереса – ловни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b/>
                <w:bCs/>
                <w:lang w:val="sr-Cyrl-RS"/>
              </w:rPr>
            </w:pPr>
            <w:r>
              <w:rPr>
                <w:rFonts w:ascii="Arial" w:hAnsi="Arial" w:cs="Arial"/>
                <w:b/>
                <w:bCs/>
                <w:lang w:val="sr-Cyrl-RS"/>
              </w:rPr>
              <w:t>Оперативни циљ</w:t>
            </w:r>
          </w:p>
        </w:tc>
        <w:tc>
          <w:tcPr>
            <w:tcW w:w="2040" w:type="dxa"/>
          </w:tcPr>
          <w:p>
            <w:pPr>
              <w:rPr>
                <w:rFonts w:ascii="Arial" w:hAnsi="Arial" w:cs="Arial"/>
                <w:b/>
                <w:bCs/>
                <w:lang w:val="sr-Cyrl-RS"/>
              </w:rPr>
            </w:pPr>
            <w:r>
              <w:rPr>
                <w:rFonts w:ascii="Arial" w:hAnsi="Arial" w:cs="Arial"/>
                <w:b/>
                <w:bCs/>
                <w:lang w:val="sr-Cyrl-RS"/>
              </w:rPr>
              <w:t>Мера 2.2</w:t>
            </w:r>
          </w:p>
        </w:tc>
        <w:tc>
          <w:tcPr>
            <w:tcW w:w="3208" w:type="dxa"/>
          </w:tcPr>
          <w:p>
            <w:pPr>
              <w:rPr>
                <w:rFonts w:ascii="Arial" w:hAnsi="Arial" w:cs="Arial"/>
                <w:b/>
                <w:bCs/>
              </w:rPr>
            </w:pPr>
            <w:r>
              <w:rPr>
                <w:rFonts w:ascii="Arial" w:hAnsi="Arial" w:cs="Arial"/>
                <w:b/>
                <w:bCs/>
                <w:lang w:val="sr-Cyrl-RS"/>
              </w:rPr>
              <w:t>Активност/Пројекат</w:t>
            </w:r>
          </w:p>
        </w:tc>
        <w:tc>
          <w:tcPr>
            <w:tcW w:w="1517" w:type="dxa"/>
          </w:tcPr>
          <w:p>
            <w:pPr>
              <w:rPr>
                <w:rFonts w:ascii="Arial" w:hAnsi="Arial" w:cs="Arial"/>
                <w:b/>
                <w:bCs/>
                <w:lang w:val="sr-Cyrl-RS"/>
              </w:rPr>
            </w:pPr>
            <w:r>
              <w:rPr>
                <w:rFonts w:ascii="Arial" w:hAnsi="Arial" w:cs="Arial"/>
                <w:b/>
                <w:bCs/>
                <w:lang w:val="sr-Cyrl-RS"/>
              </w:rPr>
              <w:t>Одговорне институције</w:t>
            </w:r>
          </w:p>
        </w:tc>
        <w:tc>
          <w:tcPr>
            <w:tcW w:w="1611" w:type="dxa"/>
          </w:tcPr>
          <w:p>
            <w:pPr>
              <w:rPr>
                <w:rFonts w:ascii="Arial" w:hAnsi="Arial" w:cs="Arial"/>
                <w:b/>
                <w:bCs/>
                <w:lang w:val="sr-Cyrl-RS"/>
              </w:rPr>
            </w:pPr>
            <w:r>
              <w:rPr>
                <w:rFonts w:ascii="Arial" w:hAnsi="Arial" w:cs="Arial"/>
                <w:b/>
                <w:bCs/>
                <w:lang w:val="sr-Cyrl-RS"/>
              </w:rPr>
              <w:t>Време реализације крајњи рок:</w:t>
            </w:r>
          </w:p>
        </w:tc>
        <w:tc>
          <w:tcPr>
            <w:tcW w:w="2577" w:type="dxa"/>
          </w:tcPr>
          <w:p>
            <w:pPr>
              <w:rPr>
                <w:rFonts w:ascii="Arial" w:hAnsi="Arial" w:cs="Arial"/>
                <w:b/>
                <w:bCs/>
                <w:lang w:val="sr-Cyrl-RS"/>
              </w:rPr>
            </w:pPr>
            <w:r>
              <w:rPr>
                <w:rFonts w:ascii="Arial" w:hAnsi="Arial" w:cs="Arial"/>
                <w:b/>
                <w:bCs/>
                <w:lang w:val="sr-Cyrl-RS"/>
              </w:rPr>
              <w:t>Извори финансирања:</w:t>
            </w:r>
          </w:p>
        </w:tc>
        <w:tc>
          <w:tcPr>
            <w:tcW w:w="1676"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lang w:val="sr-Cyrl-RS"/>
              </w:rPr>
            </w:pPr>
            <w:r>
              <w:rPr>
                <w:rFonts w:ascii="Arial" w:hAnsi="Arial" w:cs="Arial"/>
                <w:color w:val="000000" w:themeColor="text1"/>
                <w:lang w:val="sr-Cyrl-RS" w:eastAsia="sr-Latn-RS"/>
                <w14:textFill>
                  <w14:solidFill>
                    <w14:schemeClr w14:val="tx1"/>
                  </w14:solidFill>
                </w14:textFill>
              </w:rPr>
              <w:t>Изградња бунгаловског насеља уз адаптацију базена и припадајуће елементе</w:t>
            </w:r>
          </w:p>
        </w:tc>
        <w:tc>
          <w:tcPr>
            <w:tcW w:w="2040" w:type="dxa"/>
          </w:tcPr>
          <w:p>
            <w:pPr>
              <w:spacing w:line="256" w:lineRule="auto"/>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Подизање капацитета за производ кратки одмори кроз инфраструктурно опремање комплекса купалишта са бунгаловима</w:t>
            </w:r>
          </w:p>
          <w:p>
            <w:pPr>
              <w:rPr>
                <w:rFonts w:ascii="Arial" w:hAnsi="Arial" w:cs="Arial"/>
                <w:lang w:val="sr-Cyrl-RS"/>
              </w:rPr>
            </w:pPr>
          </w:p>
        </w:tc>
        <w:tc>
          <w:tcPr>
            <w:tcW w:w="3208" w:type="dxa"/>
          </w:tcPr>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пројектно -техничке документације</w:t>
            </w:r>
          </w:p>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-Изградња и опремање 5 бунгалова за одмор </w:t>
            </w:r>
          </w:p>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и опремање ресторана са делом за рецепцију</w:t>
            </w:r>
          </w:p>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-Санација и адаптација базена</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-Означавање</w:t>
            </w:r>
          </w:p>
        </w:tc>
        <w:tc>
          <w:tcPr>
            <w:tcW w:w="151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Општина Гаџин Хан</w:t>
            </w:r>
          </w:p>
        </w:tc>
        <w:tc>
          <w:tcPr>
            <w:tcW w:w="1611" w:type="dxa"/>
          </w:tcPr>
          <w:p>
            <w:pPr>
              <w:rPr>
                <w:rFonts w:ascii="Arial" w:hAnsi="Arial" w:cs="Arial"/>
                <w:lang w:val="sr-Cyrl-RS"/>
              </w:rPr>
            </w:pPr>
            <w:r>
              <w:rPr>
                <w:rFonts w:ascii="Arial" w:hAnsi="Arial" w:cs="Arial"/>
                <w:lang w:val="sr-Cyrl-RS"/>
              </w:rPr>
              <w:t>2 године</w:t>
            </w:r>
          </w:p>
        </w:tc>
        <w:tc>
          <w:tcPr>
            <w:tcW w:w="2577" w:type="dxa"/>
          </w:tcPr>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Општина Гаџин Хан</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Приватни предузетници </w:t>
            </w:r>
          </w:p>
          <w:p>
            <w:pPr>
              <w:rPr>
                <w:rFonts w:ascii="Arial" w:hAnsi="Arial" w:cs="Arial"/>
                <w:lang w:val="sr-Cyrl-RS"/>
              </w:rPr>
            </w:pPr>
            <w:r>
              <w:rPr>
                <w:rFonts w:ascii="Arial" w:hAnsi="Arial" w:cs="Arial"/>
                <w:lang w:val="sr-Cyrl-RS"/>
              </w:rPr>
              <w:t>Средства донатора</w:t>
            </w:r>
          </w:p>
          <w:p>
            <w:pPr>
              <w:rPr>
                <w:rFonts w:ascii="Arial" w:hAnsi="Arial" w:cs="Arial"/>
                <w:lang w:val="sr-Cyrl-RS"/>
              </w:rPr>
            </w:pPr>
            <w:r>
              <w:rPr>
                <w:rFonts w:ascii="Arial" w:hAnsi="Arial" w:cs="Arial"/>
                <w:lang w:val="sr-Cyrl-RS"/>
              </w:rPr>
              <w:t>(ЕУ фондови)</w:t>
            </w:r>
          </w:p>
          <w:p>
            <w:pPr>
              <w:spacing w:line="276" w:lineRule="auto"/>
              <w:jc w:val="both"/>
              <w:rPr>
                <w:rFonts w:ascii="Arial" w:hAnsi="Arial" w:cs="Arial"/>
                <w:color w:val="FF0000"/>
                <w:lang w:val="sr-Cyrl-RS"/>
              </w:rPr>
            </w:pPr>
          </w:p>
        </w:tc>
        <w:tc>
          <w:tcPr>
            <w:tcW w:w="1676" w:type="dxa"/>
          </w:tcPr>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посетилаца на дестинацији</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ноћења у бунгаловима</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купљених карата за базен</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Број задовољних туриста пруженом услугом – анкета у смештајном објекту</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1997"/>
        <w:gridCol w:w="3162"/>
        <w:gridCol w:w="1654"/>
        <w:gridCol w:w="1640"/>
        <w:gridCol w:w="2524"/>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w:t>
            </w:r>
            <w:r>
              <w:rPr>
                <w:rFonts w:ascii="Arial" w:hAnsi="Arial" w:cs="Arial"/>
                <w:b/>
                <w:bCs/>
                <w:color w:val="000000" w:themeColor="text1"/>
                <w:lang w:val="sr-Cyrl-RS"/>
                <w14:textFill>
                  <w14:solidFill>
                    <w14:schemeClr w14:val="tx1"/>
                  </w14:solidFill>
                </w14:textFill>
              </w:rPr>
              <w:t>Унапређење инфраструктуре и заштита животне средине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rPr>
                <w:rFonts w:ascii="Arial" w:hAnsi="Arial" w:cs="Arial"/>
                <w:b/>
                <w:bCs/>
                <w:lang w:val="sr-Cyrl-RS"/>
              </w:rPr>
            </w:pPr>
            <w:r>
              <w:rPr>
                <w:rFonts w:ascii="Arial" w:hAnsi="Arial" w:cs="Arial"/>
                <w:b/>
                <w:bCs/>
                <w:lang w:val="sr-Cyrl-RS"/>
              </w:rPr>
              <w:t>Оперативни циљ</w:t>
            </w:r>
          </w:p>
        </w:tc>
        <w:tc>
          <w:tcPr>
            <w:tcW w:w="2007" w:type="dxa"/>
          </w:tcPr>
          <w:p>
            <w:pPr>
              <w:rPr>
                <w:rFonts w:ascii="Arial" w:hAnsi="Arial" w:cs="Arial"/>
                <w:b/>
                <w:bCs/>
                <w:lang w:val="sr-Cyrl-RS"/>
              </w:rPr>
            </w:pPr>
            <w:r>
              <w:rPr>
                <w:rFonts w:ascii="Arial" w:hAnsi="Arial" w:cs="Arial"/>
                <w:b/>
                <w:bCs/>
                <w:lang w:val="sr-Cyrl-RS"/>
              </w:rPr>
              <w:t xml:space="preserve">Мера 2.3 </w:t>
            </w:r>
          </w:p>
        </w:tc>
        <w:tc>
          <w:tcPr>
            <w:tcW w:w="3172"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535" w:type="dxa"/>
          </w:tcPr>
          <w:p>
            <w:pPr>
              <w:rPr>
                <w:rFonts w:ascii="Arial" w:hAnsi="Arial" w:cs="Arial"/>
                <w:b/>
                <w:bCs/>
                <w:lang w:val="sr-Cyrl-RS"/>
              </w:rPr>
            </w:pPr>
            <w:r>
              <w:rPr>
                <w:rFonts w:ascii="Arial" w:hAnsi="Arial" w:cs="Arial"/>
                <w:b/>
                <w:bCs/>
                <w:lang w:val="sr-Cyrl-RS"/>
              </w:rPr>
              <w:t>Извори финасирања:</w:t>
            </w:r>
          </w:p>
        </w:tc>
        <w:tc>
          <w:tcPr>
            <w:tcW w:w="1673"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rPr>
                <w:rFonts w:ascii="Arial" w:hAnsi="Arial" w:cs="Arial"/>
                <w:lang w:val="sr-Cyrl-RS"/>
              </w:rPr>
            </w:pPr>
            <w:r>
              <w:rPr>
                <w:rFonts w:ascii="Arial" w:hAnsi="Arial" w:cs="Arial"/>
                <w:color w:val="000000" w:themeColor="text1"/>
                <w:lang w:val="sr-Cyrl-RS" w:eastAsia="sr-Latn-RS"/>
                <w14:textFill>
                  <w14:solidFill>
                    <w14:schemeClr w14:val="tx1"/>
                  </w14:solidFill>
                </w14:textFill>
              </w:rPr>
              <w:t>Изградња жичаре „Стражиште“</w:t>
            </w:r>
          </w:p>
        </w:tc>
        <w:tc>
          <w:tcPr>
            <w:tcW w:w="200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Изградња жичаре са гондолама</w:t>
            </w:r>
          </w:p>
        </w:tc>
        <w:tc>
          <w:tcPr>
            <w:tcW w:w="3172" w:type="dxa"/>
          </w:tcPr>
          <w:p>
            <w:pPr>
              <w:spacing w:after="240" w:line="276" w:lineRule="auto"/>
              <w:contextualSpacing/>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 xml:space="preserve">-Израда студије изводљивости изградње жичаре </w:t>
            </w:r>
          </w:p>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-Успостављање партнерства са Министарствима и ЈП Скијалишта Србије</w:t>
            </w:r>
          </w:p>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-Расписивање тендера за извођача радова</w:t>
            </w:r>
          </w:p>
          <w:p>
            <w:pPr>
              <w:spacing w:after="24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жичаре са пратећим елементима</w:t>
            </w:r>
          </w:p>
          <w:p>
            <w:pPr>
              <w:spacing w:line="276" w:lineRule="auto"/>
              <w:jc w:val="both"/>
              <w:rPr>
                <w:rFonts w:ascii="Arial" w:hAnsi="Arial" w:cs="Arial"/>
                <w:lang w:val="sr-Cyrl-RS"/>
              </w:rPr>
            </w:pPr>
            <w:r>
              <w:rPr>
                <w:rFonts w:ascii="Arial" w:hAnsi="Arial" w:cs="Arial"/>
                <w:color w:val="000000" w:themeColor="text1"/>
                <w:shd w:val="clear" w:color="auto" w:fill="FFFFFF"/>
                <w:lang w:val="sr-Cyrl-RS"/>
                <w14:textFill>
                  <w14:solidFill>
                    <w14:schemeClr w14:val="tx1"/>
                  </w14:solidFill>
                </w14:textFill>
              </w:rPr>
              <w:t>Решење о употребној дозволи - Министарство грађевинарства, саобраћаја и инфраструктуре је донело решење о употребној дозволи</w:t>
            </w:r>
          </w:p>
        </w:tc>
        <w:tc>
          <w:tcPr>
            <w:tcW w:w="1607" w:type="dxa"/>
          </w:tcPr>
          <w:p>
            <w:pPr>
              <w:rPr>
                <w:rFonts w:ascii="Arial" w:hAnsi="Arial" w:cs="Arial"/>
                <w:lang w:val="sr-Cyrl-RS"/>
              </w:rPr>
            </w:pPr>
          </w:p>
        </w:tc>
        <w:tc>
          <w:tcPr>
            <w:tcW w:w="1651"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6 – 10 година</w:t>
            </w:r>
          </w:p>
        </w:tc>
        <w:tc>
          <w:tcPr>
            <w:tcW w:w="2535" w:type="dxa"/>
          </w:tcPr>
          <w:p>
            <w:pPr>
              <w:rPr>
                <w:rFonts w:ascii="Arial" w:hAnsi="Arial" w:cs="Arial"/>
                <w:color w:val="FF0000"/>
                <w:lang w:val="sr-Cyrl-RS"/>
              </w:rPr>
            </w:pPr>
            <w:r>
              <w:rPr>
                <w:rFonts w:ascii="Arial" w:hAnsi="Arial" w:cs="Arial"/>
                <w:color w:val="000000" w:themeColor="text1"/>
                <w:lang w:val="sr-Cyrl-RS"/>
                <w14:textFill>
                  <w14:solidFill>
                    <w14:schemeClr w14:val="tx1"/>
                  </w14:solidFill>
                </w14:textFill>
              </w:rPr>
              <w:t>Општина Гаџин Хан</w:t>
            </w:r>
          </w:p>
          <w:p>
            <w:pPr>
              <w:rPr>
                <w:rFonts w:ascii="Arial" w:hAnsi="Arial" w:cs="Arial"/>
                <w:color w:val="FF0000"/>
                <w:lang w:val="sr-Cyrl-RS"/>
              </w:rPr>
            </w:pPr>
            <w:r>
              <w:rPr>
                <w:rFonts w:ascii="Arial" w:hAnsi="Arial" w:cs="Arial"/>
                <w:lang w:val="sr-Cyrl-RS"/>
              </w:rPr>
              <w:t>Средства донатора</w:t>
            </w:r>
          </w:p>
        </w:tc>
        <w:tc>
          <w:tcPr>
            <w:tcW w:w="1673" w:type="dxa"/>
          </w:tcPr>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посетилаца на дестинацији</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купљених карата за гондолу</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задовољних туриста пруженом услугом </w:t>
            </w:r>
          </w:p>
          <w:p>
            <w:pPr>
              <w:spacing w:line="276" w:lineRule="auto"/>
              <w:jc w:val="both"/>
              <w:rPr>
                <w:rFonts w:ascii="Arial" w:hAnsi="Arial" w:cs="Arial"/>
                <w:color w:val="000000" w:themeColor="text1"/>
                <w:lang w:val="sr-Cyrl-RS"/>
                <w14:textFill>
                  <w14:solidFill>
                    <w14:schemeClr w14:val="tx1"/>
                  </w14:solidFill>
                </w14:textFill>
              </w:rPr>
            </w:pP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1999"/>
        <w:gridCol w:w="3187"/>
        <w:gridCol w:w="1654"/>
        <w:gridCol w:w="1592"/>
        <w:gridCol w:w="2553"/>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Унапређење инфраструктуре и заштита животне средине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b/>
                <w:bCs/>
                <w:lang w:val="sr-Cyrl-RS"/>
              </w:rPr>
            </w:pPr>
            <w:r>
              <w:rPr>
                <w:rFonts w:ascii="Arial" w:hAnsi="Arial" w:cs="Arial"/>
                <w:b/>
                <w:bCs/>
                <w:lang w:val="sr-Cyrl-RS"/>
              </w:rPr>
              <w:t>Оперативни циљ</w:t>
            </w:r>
          </w:p>
        </w:tc>
        <w:tc>
          <w:tcPr>
            <w:tcW w:w="2040" w:type="dxa"/>
          </w:tcPr>
          <w:p>
            <w:pPr>
              <w:rPr>
                <w:rFonts w:ascii="Arial" w:hAnsi="Arial" w:cs="Arial"/>
                <w:b/>
                <w:bCs/>
                <w:lang w:val="sr-Cyrl-RS"/>
              </w:rPr>
            </w:pPr>
            <w:r>
              <w:rPr>
                <w:rFonts w:ascii="Arial" w:hAnsi="Arial" w:cs="Arial"/>
                <w:b/>
                <w:bCs/>
                <w:lang w:val="sr-Cyrl-RS"/>
              </w:rPr>
              <w:t xml:space="preserve">Мера 2.4 </w:t>
            </w:r>
          </w:p>
        </w:tc>
        <w:tc>
          <w:tcPr>
            <w:tcW w:w="3208" w:type="dxa"/>
          </w:tcPr>
          <w:p>
            <w:pPr>
              <w:rPr>
                <w:rFonts w:ascii="Arial" w:hAnsi="Arial" w:cs="Arial"/>
                <w:b/>
                <w:bCs/>
              </w:rPr>
            </w:pPr>
            <w:r>
              <w:rPr>
                <w:rFonts w:ascii="Arial" w:hAnsi="Arial" w:cs="Arial"/>
                <w:b/>
                <w:bCs/>
                <w:lang w:val="sr-Cyrl-RS"/>
              </w:rPr>
              <w:t>Активност/Пројекат</w:t>
            </w:r>
          </w:p>
        </w:tc>
        <w:tc>
          <w:tcPr>
            <w:tcW w:w="1517" w:type="dxa"/>
          </w:tcPr>
          <w:p>
            <w:pPr>
              <w:rPr>
                <w:rFonts w:ascii="Arial" w:hAnsi="Arial" w:cs="Arial"/>
                <w:b/>
                <w:bCs/>
                <w:lang w:val="sr-Cyrl-RS"/>
              </w:rPr>
            </w:pPr>
            <w:r>
              <w:rPr>
                <w:rFonts w:ascii="Arial" w:hAnsi="Arial" w:cs="Arial"/>
                <w:b/>
                <w:bCs/>
                <w:lang w:val="sr-Cyrl-RS"/>
              </w:rPr>
              <w:t>Одговрне институције</w:t>
            </w:r>
          </w:p>
        </w:tc>
        <w:tc>
          <w:tcPr>
            <w:tcW w:w="1611" w:type="dxa"/>
          </w:tcPr>
          <w:p>
            <w:pPr>
              <w:rPr>
                <w:rFonts w:ascii="Arial" w:hAnsi="Arial" w:cs="Arial"/>
                <w:b/>
                <w:bCs/>
                <w:lang w:val="sr-Cyrl-RS"/>
              </w:rPr>
            </w:pPr>
            <w:r>
              <w:rPr>
                <w:rFonts w:ascii="Arial" w:hAnsi="Arial" w:cs="Arial"/>
                <w:b/>
                <w:bCs/>
                <w:lang w:val="sr-Cyrl-RS"/>
              </w:rPr>
              <w:t>Време реализације крајњи рок:</w:t>
            </w:r>
          </w:p>
        </w:tc>
        <w:tc>
          <w:tcPr>
            <w:tcW w:w="2577" w:type="dxa"/>
          </w:tcPr>
          <w:p>
            <w:pPr>
              <w:rPr>
                <w:rFonts w:ascii="Arial" w:hAnsi="Arial" w:cs="Arial"/>
                <w:b/>
                <w:bCs/>
                <w:lang w:val="sr-Cyrl-RS"/>
              </w:rPr>
            </w:pPr>
            <w:r>
              <w:rPr>
                <w:rFonts w:ascii="Arial" w:hAnsi="Arial" w:cs="Arial"/>
                <w:b/>
                <w:bCs/>
                <w:lang w:val="sr-Cyrl-RS"/>
              </w:rPr>
              <w:t>Извори финасирања:</w:t>
            </w:r>
          </w:p>
        </w:tc>
        <w:tc>
          <w:tcPr>
            <w:tcW w:w="1676"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Адаптација шумарских кућица, изградња ловачког дома и набавка специјалног теренског возила</w:t>
            </w:r>
          </w:p>
        </w:tc>
        <w:tc>
          <w:tcPr>
            <w:tcW w:w="2040"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Адаптација шумарских кућица у ловачке објекте за потребе Ловачко удружење Заплање и изградња ловачког дома</w:t>
            </w:r>
          </w:p>
        </w:tc>
        <w:tc>
          <w:tcPr>
            <w:tcW w:w="3208" w:type="dxa"/>
          </w:tcPr>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-Успостављање сарадње са ЈП Србија шуме за један објекат </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-Утврђивање власничких односа за два објекта</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елабората за санацију 3 објеката/кућице (4x4 м по објекту)</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-Осмишљавање едукације за туристе и посетиоце у начину прикупљања биља и гљива </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елабората о изградњи ловачког дома</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-Стављање у функцију постојећих 7 чека за посматрање птица</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-Промоција активности и капацитета</w:t>
            </w:r>
          </w:p>
        </w:tc>
        <w:tc>
          <w:tcPr>
            <w:tcW w:w="151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Општина Гаџин Хан и ЛУ Заплање</w:t>
            </w:r>
          </w:p>
        </w:tc>
        <w:tc>
          <w:tcPr>
            <w:tcW w:w="1611" w:type="dxa"/>
          </w:tcPr>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Адаптација кућица:</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1 године</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ловачког дома:</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5 година</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Набавка специјалног теренског возила</w:t>
            </w:r>
          </w:p>
          <w:p>
            <w:pPr>
              <w:rPr>
                <w:rFonts w:ascii="Arial" w:hAnsi="Arial" w:cs="Arial"/>
                <w:lang w:val="sr-Cyrl-RS"/>
              </w:rPr>
            </w:pPr>
            <w:r>
              <w:rPr>
                <w:rFonts w:ascii="Arial" w:hAnsi="Arial" w:cs="Arial"/>
                <w:color w:val="000000" w:themeColor="text1"/>
                <w:lang w:val="sr-Cyrl-RS"/>
                <w14:textFill>
                  <w14:solidFill>
                    <w14:schemeClr w14:val="tx1"/>
                  </w14:solidFill>
                </w14:textFill>
              </w:rPr>
              <w:t>1 година</w:t>
            </w:r>
          </w:p>
        </w:tc>
        <w:tc>
          <w:tcPr>
            <w:tcW w:w="2577" w:type="dxa"/>
          </w:tcPr>
          <w:p>
            <w:pPr>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Општина Гаџин Хан, </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Удружење,</w:t>
            </w:r>
          </w:p>
          <w:p>
            <w:pPr>
              <w:rPr>
                <w:rFonts w:ascii="Arial" w:hAnsi="Arial" w:cs="Arial"/>
                <w:color w:val="FF0000"/>
                <w:lang w:val="sr-Cyrl-RS"/>
              </w:rPr>
            </w:pPr>
            <w:r>
              <w:rPr>
                <w:rFonts w:ascii="Arial" w:hAnsi="Arial" w:cs="Arial"/>
                <w:color w:val="000000" w:themeColor="text1"/>
                <w:lang w:val="sr-Cyrl-RS"/>
                <w14:textFill>
                  <w14:solidFill>
                    <w14:schemeClr w14:val="tx1"/>
                  </w14:solidFill>
                </w14:textFill>
              </w:rPr>
              <w:t>Средства донатора</w:t>
            </w:r>
          </w:p>
        </w:tc>
        <w:tc>
          <w:tcPr>
            <w:tcW w:w="1676" w:type="dxa"/>
          </w:tcPr>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-Повећање броја туриста заинтересованих за ове туристичке производе</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-Повећање броја Сурог орла и дивокоза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задовољних туриста пруженом услугом</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977"/>
        <w:gridCol w:w="3144"/>
        <w:gridCol w:w="1654"/>
        <w:gridCol w:w="1622"/>
        <w:gridCol w:w="2510"/>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rPr>
                <w:rFonts w:ascii="Arial" w:hAnsi="Arial" w:cs="Arial"/>
                <w:lang w:val="ru-RU"/>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lang w:val="ru-RU"/>
              </w:rPr>
              <w:t xml:space="preserve"> </w:t>
            </w:r>
            <w:r>
              <w:rPr>
                <w:rFonts w:ascii="Arial" w:hAnsi="Arial" w:cs="Arial"/>
                <w:color w:val="000000" w:themeColor="text1"/>
                <w:lang w:val="sr-Cyrl-RS"/>
                <w14:textFill>
                  <w14:solidFill>
                    <w14:schemeClr w14:val="tx1"/>
                  </w14:solidFill>
                </w14:textFill>
              </w:rPr>
              <w:t>Одрживо управљање туристичком дестинацијом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rPr>
                <w:rFonts w:ascii="Arial" w:hAnsi="Arial" w:cs="Arial"/>
                <w:b/>
                <w:bCs/>
                <w:lang w:val="sr-Cyrl-RS"/>
              </w:rPr>
            </w:pPr>
            <w:r>
              <w:rPr>
                <w:rFonts w:ascii="Arial" w:hAnsi="Arial" w:cs="Arial"/>
                <w:b/>
                <w:bCs/>
                <w:lang w:val="sr-Cyrl-RS"/>
              </w:rPr>
              <w:t>Оперативни циљ</w:t>
            </w:r>
          </w:p>
        </w:tc>
        <w:tc>
          <w:tcPr>
            <w:tcW w:w="2013" w:type="dxa"/>
          </w:tcPr>
          <w:p>
            <w:pPr>
              <w:rPr>
                <w:rFonts w:ascii="Arial" w:hAnsi="Arial" w:cs="Arial"/>
                <w:b/>
                <w:bCs/>
              </w:rPr>
            </w:pPr>
            <w:r>
              <w:rPr>
                <w:rFonts w:ascii="Arial" w:hAnsi="Arial" w:cs="Arial"/>
                <w:b/>
                <w:bCs/>
                <w:lang w:val="sr-Cyrl-RS"/>
              </w:rPr>
              <w:t>Мера</w:t>
            </w:r>
            <w:r>
              <w:rPr>
                <w:rFonts w:ascii="Arial" w:hAnsi="Arial" w:cs="Arial"/>
                <w:b/>
                <w:bCs/>
              </w:rPr>
              <w:t xml:space="preserve"> 2.5</w:t>
            </w:r>
          </w:p>
        </w:tc>
        <w:tc>
          <w:tcPr>
            <w:tcW w:w="3170"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534" w:type="dxa"/>
          </w:tcPr>
          <w:p>
            <w:pPr>
              <w:rPr>
                <w:rFonts w:ascii="Arial" w:hAnsi="Arial" w:cs="Arial"/>
                <w:b/>
                <w:bCs/>
                <w:lang w:val="sr-Cyrl-RS"/>
              </w:rPr>
            </w:pPr>
            <w:r>
              <w:rPr>
                <w:rFonts w:ascii="Arial" w:hAnsi="Arial" w:cs="Arial"/>
                <w:b/>
                <w:bCs/>
                <w:lang w:val="sr-Cyrl-RS"/>
              </w:rPr>
              <w:t>Извори финансирања:</w:t>
            </w:r>
          </w:p>
        </w:tc>
        <w:tc>
          <w:tcPr>
            <w:tcW w:w="1673"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Савремени принципи управљања отпадом у корак са еко туризмом Суве планине</w:t>
            </w:r>
          </w:p>
        </w:tc>
        <w:tc>
          <w:tcPr>
            <w:tcW w:w="2013"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Одрживи развој туризма, екологија и управљање отпадом</w:t>
            </w:r>
          </w:p>
        </w:tc>
        <w:tc>
          <w:tcPr>
            <w:tcW w:w="3170" w:type="dxa"/>
          </w:tcPr>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ru-RU"/>
                <w14:textFill>
                  <w14:solidFill>
                    <w14:schemeClr w14:val="tx1"/>
                  </w14:solidFill>
                </w14:textFill>
              </w:rPr>
              <w:t>-</w:t>
            </w:r>
            <w:r>
              <w:rPr>
                <w:rFonts w:ascii="Arial" w:hAnsi="Arial" w:cs="Arial"/>
                <w:color w:val="000000" w:themeColor="text1"/>
                <w:lang w:val="sr-Cyrl-RS"/>
                <w14:textFill>
                  <w14:solidFill>
                    <w14:schemeClr w14:val="tx1"/>
                  </w14:solidFill>
                </w14:textFill>
              </w:rPr>
              <w:t>Ревидирање Плана управљања отпадом</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ru-RU"/>
                <w14:textFill>
                  <w14:solidFill>
                    <w14:schemeClr w14:val="tx1"/>
                  </w14:solidFill>
                </w14:textFill>
              </w:rPr>
              <w:t>-</w:t>
            </w:r>
            <w:r>
              <w:rPr>
                <w:rFonts w:ascii="Arial" w:hAnsi="Arial" w:cs="Arial"/>
                <w:color w:val="000000" w:themeColor="text1"/>
                <w:lang w:val="sr-Cyrl-RS"/>
                <w14:textFill>
                  <w14:solidFill>
                    <w14:schemeClr w14:val="tx1"/>
                  </w14:solidFill>
                </w14:textFill>
              </w:rPr>
              <w:t>Постављање соларних пуњача на фреквентним тачкама - локацијама за одмор активних бициклиста) и камера са соларним напајањем ради контроле кретања посетиоца Суве планине и тренутног стања везаног за бачене отпатке и ђубре.</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ru-RU"/>
                <w14:textFill>
                  <w14:solidFill>
                    <w14:schemeClr w14:val="tx1"/>
                  </w14:solidFill>
                </w14:textFill>
              </w:rPr>
              <w:t>-</w:t>
            </w:r>
            <w:r>
              <w:rPr>
                <w:rFonts w:ascii="Arial" w:hAnsi="Arial" w:cs="Arial"/>
                <w:color w:val="000000" w:themeColor="text1"/>
                <w:lang w:val="sr-Cyrl-RS"/>
                <w14:textFill>
                  <w14:solidFill>
                    <w14:schemeClr w14:val="tx1"/>
                  </w14:solidFill>
                </w14:textFill>
              </w:rPr>
              <w:t xml:space="preserve">Набавка потребних возила, контејнера и изградња станица за сакупљање отпада. Општина Гаџин Хан добила је специјално еколошко возило за сакупљање ђубрета финасирано ГИЗ Србија на пројекту. </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ru-RU"/>
                <w14:textFill>
                  <w14:solidFill>
                    <w14:schemeClr w14:val="tx1"/>
                  </w14:solidFill>
                </w14:textFill>
              </w:rPr>
              <w:t>-</w:t>
            </w:r>
            <w:r>
              <w:rPr>
                <w:rFonts w:ascii="Arial" w:hAnsi="Arial" w:cs="Arial"/>
                <w:color w:val="000000" w:themeColor="text1"/>
                <w:lang w:val="sr-Cyrl-RS"/>
                <w14:textFill>
                  <w14:solidFill>
                    <w14:schemeClr w14:val="tx1"/>
                  </w14:solidFill>
                </w14:textFill>
              </w:rPr>
              <w:t>“Набавка контејнера за одлагање смећа”. Потребно је 200 контејнера укупне вредности 10.560.000,00 динара. Куповином контејнера решио би се проблем замене постојећих који су у доста лошем стању због застарелости.</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ru-RU"/>
                <w14:textFill>
                  <w14:solidFill>
                    <w14:schemeClr w14:val="tx1"/>
                  </w14:solidFill>
                </w14:textFill>
              </w:rPr>
              <w:t>-</w:t>
            </w:r>
            <w:r>
              <w:rPr>
                <w:rFonts w:ascii="Arial" w:hAnsi="Arial" w:cs="Arial"/>
                <w:color w:val="000000" w:themeColor="text1"/>
                <w:lang w:val="sr-Cyrl-RS"/>
                <w14:textFill>
                  <w14:solidFill>
                    <w14:schemeClr w14:val="tx1"/>
                  </w14:solidFill>
                </w14:textFill>
              </w:rPr>
              <w:t>Пројекти еколошког, комуналног и пејзажног уређења туристичког простора</w:t>
            </w:r>
          </w:p>
          <w:p>
            <w:pPr>
              <w:pBdr>
                <w:top w:val="none" w:color="auto" w:sz="0" w:space="0"/>
                <w:left w:val="none" w:color="auto" w:sz="0" w:space="0"/>
                <w:bottom w:val="none" w:color="auto" w:sz="0" w:space="0"/>
                <w:right w:val="none" w:color="auto" w:sz="0" w:space="0"/>
                <w:between w:val="none" w:color="auto" w:sz="0" w:space="0"/>
              </w:pBdr>
              <w:spacing w:line="276" w:lineRule="auto"/>
              <w:contextualSpacing/>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-Промовисање употребе обновљивих извора енергије и пројекти коришћења обновљивих извора енергије (вода, сунце, ветар...)</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Искоришћавање шумског и пољопривредног отпада за енергетске сврхе</w:t>
            </w:r>
          </w:p>
        </w:tc>
        <w:tc>
          <w:tcPr>
            <w:tcW w:w="1607" w:type="dxa"/>
          </w:tcPr>
          <w:p>
            <w:pPr>
              <w:rPr>
                <w:rFonts w:ascii="Arial" w:hAnsi="Arial" w:cs="Arial"/>
                <w:lang w:val="sr-Cyrl-RS"/>
              </w:rPr>
            </w:pPr>
            <w:r>
              <w:rPr>
                <w:rFonts w:ascii="Arial" w:hAnsi="Arial" w:cs="Arial"/>
                <w:lang w:val="sr-Cyrl-RS"/>
              </w:rPr>
              <w:t>Општине Гаџин Хан</w:t>
            </w:r>
          </w:p>
        </w:tc>
        <w:tc>
          <w:tcPr>
            <w:tcW w:w="1651" w:type="dxa"/>
          </w:tcPr>
          <w:p>
            <w:pPr>
              <w:rPr>
                <w:rFonts w:ascii="Arial" w:hAnsi="Arial" w:cs="Arial"/>
                <w:lang w:val="sr-Cyrl-RS"/>
              </w:rPr>
            </w:pPr>
            <w:r>
              <w:rPr>
                <w:rFonts w:ascii="Arial" w:hAnsi="Arial" w:cs="Arial"/>
              </w:rPr>
              <w:t xml:space="preserve">2 </w:t>
            </w:r>
            <w:r>
              <w:rPr>
                <w:rFonts w:ascii="Arial" w:hAnsi="Arial" w:cs="Arial"/>
                <w:lang w:val="sr-Cyrl-RS"/>
              </w:rPr>
              <w:t>године</w:t>
            </w:r>
          </w:p>
        </w:tc>
        <w:tc>
          <w:tcPr>
            <w:tcW w:w="2534" w:type="dxa"/>
          </w:tcPr>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Општина Гаџин Хан, Министарство надлежно за екологију и заштиту животне средине, Средства донатора</w:t>
            </w:r>
          </w:p>
          <w:p>
            <w:pPr>
              <w:rPr>
                <w:rFonts w:ascii="Arial" w:hAnsi="Arial" w:cs="Arial"/>
                <w:color w:val="FF0000"/>
                <w:lang w:val="sr-Cyrl-RS"/>
              </w:rPr>
            </w:pPr>
            <w:r>
              <w:rPr>
                <w:rFonts w:ascii="Arial" w:hAnsi="Arial" w:cs="Arial"/>
                <w:color w:val="000000" w:themeColor="text1"/>
                <w:lang w:val="sr-Cyrl-RS"/>
                <w14:textFill>
                  <w14:solidFill>
                    <w14:schemeClr w14:val="tx1"/>
                  </w14:solidFill>
                </w14:textFill>
              </w:rPr>
              <w:t>(ЕУ фондови, Светска банка)</w:t>
            </w:r>
          </w:p>
        </w:tc>
        <w:tc>
          <w:tcPr>
            <w:tcW w:w="1673" w:type="dxa"/>
          </w:tcPr>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постављених соларних пуњача</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набављених возила за одношење отпада. </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набављених контејнера </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медијских објава за одржавање чистоће Гаџиног Хана као еко дестинације</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задовољних туриста пруженом услугом – сптовођење акета у тур инфо центру и смештајним капацитетима</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2025"/>
        <w:gridCol w:w="3281"/>
        <w:gridCol w:w="1654"/>
        <w:gridCol w:w="1643"/>
        <w:gridCol w:w="2223"/>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spacing w:line="276" w:lineRule="auto"/>
              <w:jc w:val="both"/>
              <w:rPr>
                <w:rFonts w:ascii="Arial" w:hAnsi="Arial" w:eastAsia="Gill Sans MT" w:cs="Arial"/>
                <w:color w:val="000000" w:themeColor="text1"/>
                <w:lang w:val="sr-Cyrl-RS"/>
                <w14:textFill>
                  <w14:solidFill>
                    <w14:schemeClr w14:val="tx1"/>
                  </w14:solidFill>
                </w14:textFill>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Унапређење инфраструктуре и заштита животне средине</w:t>
            </w:r>
            <w:r>
              <w:rPr>
                <w:rFonts w:ascii="Arial" w:hAnsi="Arial" w:cs="Arial"/>
                <w:lang w:val="sr-Cyrl-RS"/>
              </w:rPr>
              <w:t xml:space="preserve"> - </w:t>
            </w:r>
            <w:r>
              <w:rPr>
                <w:rFonts w:ascii="Arial" w:hAnsi="Arial" w:cs="Arial"/>
                <w:color w:val="000000" w:themeColor="text1"/>
                <w:lang w:val="sr-Cyrl-RS"/>
                <w14:textFill>
                  <w14:solidFill>
                    <w14:schemeClr w14:val="tx1"/>
                  </w14:solidFill>
                </w14:textFill>
              </w:rPr>
              <w:t xml:space="preserve">развој туристичког/транзитног кампа за смештај свих врста кампинг возила и опреме.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ascii="Arial" w:hAnsi="Arial" w:cs="Arial"/>
                <w:b/>
                <w:bCs/>
                <w:lang w:val="sr-Cyrl-RS"/>
              </w:rPr>
            </w:pPr>
            <w:r>
              <w:rPr>
                <w:rFonts w:ascii="Arial" w:hAnsi="Arial" w:cs="Arial"/>
                <w:b/>
                <w:bCs/>
                <w:lang w:val="sr-Cyrl-RS"/>
              </w:rPr>
              <w:t>Оперативни циљ</w:t>
            </w:r>
          </w:p>
        </w:tc>
        <w:tc>
          <w:tcPr>
            <w:tcW w:w="2043" w:type="dxa"/>
          </w:tcPr>
          <w:p>
            <w:pPr>
              <w:rPr>
                <w:rFonts w:ascii="Arial" w:hAnsi="Arial" w:cs="Arial"/>
                <w:b/>
                <w:bCs/>
                <w:lang w:val="sr-Cyrl-RS"/>
              </w:rPr>
            </w:pPr>
            <w:r>
              <w:rPr>
                <w:rFonts w:ascii="Arial" w:hAnsi="Arial" w:cs="Arial"/>
                <w:b/>
                <w:bCs/>
                <w:lang w:val="sr-Cyrl-RS"/>
              </w:rPr>
              <w:t>Мера 2.6</w:t>
            </w:r>
          </w:p>
        </w:tc>
        <w:tc>
          <w:tcPr>
            <w:tcW w:w="3290"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226" w:type="dxa"/>
          </w:tcPr>
          <w:p>
            <w:pPr>
              <w:rPr>
                <w:rFonts w:ascii="Arial" w:hAnsi="Arial" w:cs="Arial"/>
                <w:b/>
                <w:bCs/>
                <w:lang w:val="sr-Cyrl-RS"/>
              </w:rPr>
            </w:pPr>
            <w:r>
              <w:rPr>
                <w:rFonts w:ascii="Arial" w:hAnsi="Arial" w:cs="Arial"/>
                <w:b/>
                <w:bCs/>
                <w:lang w:val="sr-Cyrl-RS"/>
              </w:rPr>
              <w:t>Извори финансирања:</w:t>
            </w:r>
          </w:p>
        </w:tc>
        <w:tc>
          <w:tcPr>
            <w:tcW w:w="1999"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Еко камп „Сува планина“</w:t>
            </w:r>
          </w:p>
        </w:tc>
        <w:tc>
          <w:tcPr>
            <w:tcW w:w="2043" w:type="dxa"/>
          </w:tcPr>
          <w:p>
            <w:pPr>
              <w:spacing w:line="276" w:lineRule="auto"/>
              <w:jc w:val="both"/>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t xml:space="preserve">Изградња и уређење кампа </w:t>
            </w:r>
          </w:p>
        </w:tc>
        <w:tc>
          <w:tcPr>
            <w:tcW w:w="3290" w:type="dxa"/>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општег бизнис плана за камп</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-Дефинисање правно организационе форме</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пројектно-техничке документације (партерно-уређење и инсталације, санитарни чвор, кампинг плацеви, мрежа водоснабдевања и канализације, уређај за складиштење техничког отпада (хемијски тоалети), објеката рецепције и заједничке кухиње, унутрашња саобраћајна инфраструктура)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-Прибављање дозвола за изградњу кампа (привремени објекти)</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-Изградња кампа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и постављање унутрашње и спољне сигнализације (табле добродошлице, путокази, ознаке за појединачне објекте, информативне плоче, мапе)</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мапа и брошура, организација догађаја (трке, промо туре и сл.), креирање туристичког пакета за кампинг туристе</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-Промоција кампа ”Сува планина”</w:t>
            </w:r>
          </w:p>
        </w:tc>
        <w:tc>
          <w:tcPr>
            <w:tcW w:w="1607" w:type="dxa"/>
          </w:tcPr>
          <w:p>
            <w:pPr>
              <w:rPr>
                <w:rFonts w:ascii="Arial" w:hAnsi="Arial" w:cs="Arial"/>
                <w:lang w:val="sr-Cyrl-RS"/>
              </w:rPr>
            </w:pPr>
            <w:r>
              <w:rPr>
                <w:rFonts w:ascii="Arial" w:hAnsi="Arial" w:cs="Arial"/>
                <w:lang w:val="sr-Cyrl-RS"/>
              </w:rPr>
              <w:t>Општина Гаџин Хан</w:t>
            </w:r>
          </w:p>
        </w:tc>
        <w:tc>
          <w:tcPr>
            <w:tcW w:w="1651" w:type="dxa"/>
          </w:tcPr>
          <w:p>
            <w:pPr>
              <w:rPr>
                <w:rFonts w:ascii="Arial" w:hAnsi="Arial" w:cs="Arial"/>
                <w:lang w:val="sr-Cyrl-RS"/>
              </w:rPr>
            </w:pPr>
            <w:r>
              <w:rPr>
                <w:rFonts w:ascii="Arial" w:hAnsi="Arial" w:cs="Arial"/>
                <w:lang w:val="sr-Cyrl-RS"/>
              </w:rPr>
              <w:t>2 године</w:t>
            </w:r>
          </w:p>
        </w:tc>
        <w:tc>
          <w:tcPr>
            <w:tcW w:w="2226" w:type="dxa"/>
          </w:tcPr>
          <w:p>
            <w:pPr>
              <w:rPr>
                <w:rFonts w:ascii="Arial" w:hAnsi="Arial" w:cs="Arial"/>
                <w:color w:val="000000"/>
                <w:lang w:val="sr-Cyrl-RS"/>
              </w:rPr>
            </w:pPr>
            <w:r>
              <w:rPr>
                <w:rFonts w:ascii="Arial" w:hAnsi="Arial" w:cs="Arial"/>
                <w:color w:val="000000"/>
                <w:lang w:val="sr-Cyrl-RS"/>
              </w:rPr>
              <w:t xml:space="preserve">Општина Гаџин Хан, </w:t>
            </w:r>
          </w:p>
          <w:p>
            <w:pPr>
              <w:rPr>
                <w:rFonts w:ascii="Arial" w:hAnsi="Arial" w:cs="Arial"/>
                <w:color w:val="000000"/>
                <w:lang w:val="sr-Cyrl-RS"/>
              </w:rPr>
            </w:pPr>
            <w:r>
              <w:rPr>
                <w:rFonts w:ascii="Arial" w:hAnsi="Arial" w:cs="Arial"/>
                <w:color w:val="000000"/>
                <w:lang w:val="sr-Cyrl-RS"/>
              </w:rPr>
              <w:t>Приватни предузетници,</w:t>
            </w:r>
          </w:p>
          <w:p>
            <w:pPr>
              <w:rPr>
                <w:rFonts w:ascii="Arial" w:hAnsi="Arial" w:cs="Arial"/>
                <w:color w:val="000000"/>
                <w:lang w:val="sr-Cyrl-RS"/>
              </w:rPr>
            </w:pPr>
            <w:r>
              <w:rPr>
                <w:rFonts w:ascii="Arial" w:hAnsi="Arial" w:cs="Arial"/>
                <w:color w:val="000000"/>
                <w:lang w:val="sr-Cyrl-RS"/>
              </w:rPr>
              <w:t>Средства донатора (ЕУ фондови)</w:t>
            </w:r>
          </w:p>
          <w:p>
            <w:pPr>
              <w:rPr>
                <w:rFonts w:ascii="Arial" w:hAnsi="Arial" w:cs="Arial"/>
                <w:color w:val="000000"/>
                <w:lang w:val="sr-Cyrl-RS"/>
              </w:rPr>
            </w:pPr>
          </w:p>
          <w:p>
            <w:pPr>
              <w:rPr>
                <w:rFonts w:ascii="Arial" w:hAnsi="Arial" w:cs="Arial"/>
                <w:color w:val="000000"/>
                <w:lang w:val="sr-Cyrl-RS"/>
              </w:rPr>
            </w:pPr>
          </w:p>
          <w:p>
            <w:pPr>
              <w:rPr>
                <w:rFonts w:ascii="Arial" w:hAnsi="Arial" w:cs="Arial"/>
                <w:color w:val="000000"/>
                <w:lang w:val="sr-Cyrl-RS"/>
              </w:rPr>
            </w:pPr>
          </w:p>
          <w:p>
            <w:pPr>
              <w:rPr>
                <w:rFonts w:ascii="Arial" w:hAnsi="Arial" w:cs="Arial"/>
                <w:color w:val="FF0000"/>
                <w:lang w:val="sr-Cyrl-RS"/>
              </w:rPr>
            </w:pPr>
          </w:p>
        </w:tc>
        <w:tc>
          <w:tcPr>
            <w:tcW w:w="1999" w:type="dxa"/>
          </w:tcPr>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-Израђена просторно-планска документација</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-Спроведен процес јавних набавки</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постављених информативних табли, </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одштампаних брошура, мапа и другог </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промотивног материјала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задовољних туриста и посетилаца који посећују и бораве у кампу – спровођењем анкете</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2022"/>
        <w:gridCol w:w="3137"/>
        <w:gridCol w:w="1654"/>
        <w:gridCol w:w="1648"/>
        <w:gridCol w:w="2496"/>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 xml:space="preserve">Унапређење инфраструктуре </w:t>
            </w:r>
            <w:r>
              <w:rPr>
                <w:rFonts w:ascii="Arial" w:hAnsi="Arial" w:cs="Arial"/>
                <w:lang w:val="sr-Cyrl-RS"/>
              </w:rPr>
              <w:t>- Подстицање нових инвестиција у туристичку инфраструктуру на подручју општине и инвестиција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rPr>
                <w:rFonts w:ascii="Arial" w:hAnsi="Arial" w:cs="Arial"/>
                <w:b/>
                <w:bCs/>
                <w:lang w:val="sr-Cyrl-RS"/>
              </w:rPr>
            </w:pPr>
            <w:r>
              <w:rPr>
                <w:rFonts w:ascii="Arial" w:hAnsi="Arial" w:cs="Arial"/>
                <w:b/>
                <w:bCs/>
                <w:lang w:val="sr-Cyrl-RS"/>
              </w:rPr>
              <w:t>Оперативни циљ</w:t>
            </w:r>
          </w:p>
        </w:tc>
        <w:tc>
          <w:tcPr>
            <w:tcW w:w="2035" w:type="dxa"/>
          </w:tcPr>
          <w:p>
            <w:pPr>
              <w:rPr>
                <w:rFonts w:ascii="Arial" w:hAnsi="Arial" w:cs="Arial"/>
                <w:b/>
                <w:bCs/>
                <w:lang w:val="sr-Cyrl-RS"/>
              </w:rPr>
            </w:pPr>
            <w:r>
              <w:rPr>
                <w:rFonts w:ascii="Arial" w:hAnsi="Arial" w:cs="Arial"/>
                <w:b/>
                <w:bCs/>
                <w:lang w:val="sr-Cyrl-RS"/>
              </w:rPr>
              <w:t>Мера 2.7</w:t>
            </w:r>
          </w:p>
        </w:tc>
        <w:tc>
          <w:tcPr>
            <w:tcW w:w="3147"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507" w:type="dxa"/>
          </w:tcPr>
          <w:p>
            <w:pPr>
              <w:rPr>
                <w:rFonts w:ascii="Arial" w:hAnsi="Arial" w:cs="Arial"/>
                <w:b/>
                <w:bCs/>
                <w:lang w:val="sr-Cyrl-RS"/>
              </w:rPr>
            </w:pPr>
            <w:r>
              <w:rPr>
                <w:rFonts w:ascii="Arial" w:hAnsi="Arial" w:cs="Arial"/>
                <w:b/>
                <w:bCs/>
                <w:lang w:val="sr-Cyrl-RS"/>
              </w:rPr>
              <w:t>Извори финасирања:</w:t>
            </w:r>
          </w:p>
        </w:tc>
        <w:tc>
          <w:tcPr>
            <w:tcW w:w="1671"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rPr>
                <w:rFonts w:ascii="Arial" w:hAnsi="Arial" w:cs="Arial"/>
                <w:lang w:val="sr-Cyrl-RS"/>
              </w:rPr>
            </w:pPr>
            <w:r>
              <w:rPr>
                <w:rFonts w:ascii="Arial" w:hAnsi="Arial" w:cs="Arial"/>
                <w:lang w:val="sr-Cyrl-RS"/>
              </w:rPr>
              <w:t>Ревитализација воденица Доњем и Горњем душнику, Сопотници и Краставчу</w:t>
            </w:r>
          </w:p>
        </w:tc>
        <w:tc>
          <w:tcPr>
            <w:tcW w:w="2035" w:type="dxa"/>
          </w:tcPr>
          <w:p>
            <w:pPr>
              <w:jc w:val="center"/>
              <w:rPr>
                <w:rFonts w:ascii="Arial" w:hAnsi="Arial" w:cs="Arial"/>
                <w:lang w:val="sr-Cyrl-RS"/>
              </w:rPr>
            </w:pPr>
            <w:r>
              <w:rPr>
                <w:rFonts w:ascii="Arial" w:hAnsi="Arial" w:cs="Arial"/>
                <w:lang w:val="sr-Cyrl-RS"/>
              </w:rPr>
              <w:t>Ревитализација ентеријера и екстеријера воденица</w:t>
            </w:r>
          </w:p>
        </w:tc>
        <w:tc>
          <w:tcPr>
            <w:tcW w:w="3147" w:type="dxa"/>
          </w:tcPr>
          <w:p>
            <w:pPr>
              <w:autoSpaceDE w:val="0"/>
              <w:adjustRightInd w:val="0"/>
              <w:rPr>
                <w:rFonts w:ascii="Arial" w:hAnsi="Arial" w:cs="Arial"/>
                <w:lang w:val="sr-Cyrl-RS"/>
              </w:rPr>
            </w:pPr>
            <w:r>
              <w:rPr>
                <w:rFonts w:ascii="Arial" w:hAnsi="Arial" w:cs="Arial"/>
                <w:lang w:val="sr-Cyrl-RS"/>
              </w:rPr>
              <w:t>-Решавање правно имовинских односа</w:t>
            </w:r>
          </w:p>
          <w:p>
            <w:pPr>
              <w:autoSpaceDE w:val="0"/>
              <w:adjustRightInd w:val="0"/>
              <w:rPr>
                <w:rFonts w:ascii="Arial" w:hAnsi="Arial" w:cs="Arial"/>
                <w:lang w:val="sr-Cyrl-RS"/>
              </w:rPr>
            </w:pPr>
            <w:r>
              <w:rPr>
                <w:rFonts w:ascii="Arial" w:hAnsi="Arial" w:cs="Arial"/>
                <w:lang w:val="sr-Cyrl-RS"/>
              </w:rPr>
              <w:t>-Посредством Завода за заштиту споменика културе и републичког Завода за заштиту споменика и културних добара воденице прогласе за културно добро.</w:t>
            </w:r>
          </w:p>
          <w:p>
            <w:pPr>
              <w:autoSpaceDE w:val="0"/>
              <w:adjustRightInd w:val="0"/>
              <w:rPr>
                <w:rFonts w:ascii="Arial" w:hAnsi="Arial" w:cs="Arial"/>
                <w:lang w:val="sr-Cyrl-RS"/>
              </w:rPr>
            </w:pPr>
            <w:r>
              <w:rPr>
                <w:rFonts w:ascii="Arial" w:hAnsi="Arial" w:cs="Arial"/>
                <w:lang w:val="sr-Cyrl-RS"/>
              </w:rPr>
              <w:t xml:space="preserve">-Дефинисање приоритета и израда елабората за сређивање воденица </w:t>
            </w:r>
          </w:p>
          <w:p>
            <w:pPr>
              <w:autoSpaceDE w:val="0"/>
              <w:adjustRightInd w:val="0"/>
              <w:rPr>
                <w:rFonts w:ascii="Arial" w:hAnsi="Arial" w:cs="Arial"/>
                <w:lang w:val="sr-Cyrl-RS"/>
              </w:rPr>
            </w:pPr>
            <w:r>
              <w:rPr>
                <w:rFonts w:ascii="Arial" w:hAnsi="Arial" w:cs="Arial"/>
                <w:lang w:val="sr-Cyrl-RS"/>
              </w:rPr>
              <w:t>-Уређење ентеријера и опремање 9 воденица фазно по годинама</w:t>
            </w:r>
          </w:p>
          <w:p>
            <w:pPr>
              <w:autoSpaceDE w:val="0"/>
              <w:adjustRightInd w:val="0"/>
              <w:rPr>
                <w:rFonts w:ascii="Arial" w:hAnsi="Arial" w:cs="Arial"/>
                <w:lang w:val="sr-Cyrl-RS"/>
              </w:rPr>
            </w:pPr>
            <w:r>
              <w:rPr>
                <w:rFonts w:ascii="Arial" w:hAnsi="Arial" w:cs="Arial"/>
                <w:lang w:val="sr-Cyrl-RS"/>
              </w:rPr>
              <w:t>-Прикупљање средстава</w:t>
            </w:r>
          </w:p>
          <w:p>
            <w:pPr>
              <w:autoSpaceDE w:val="0"/>
              <w:adjustRightInd w:val="0"/>
              <w:rPr>
                <w:rFonts w:ascii="Arial" w:hAnsi="Arial" w:cs="Arial"/>
                <w:lang w:val="sr-Cyrl-RS"/>
              </w:rPr>
            </w:pPr>
            <w:r>
              <w:rPr>
                <w:rFonts w:ascii="Arial" w:hAnsi="Arial" w:cs="Arial"/>
                <w:lang w:val="sr-Cyrl-RS"/>
              </w:rPr>
              <w:t>-Сређивање екстеријери и ентеријера</w:t>
            </w:r>
          </w:p>
          <w:p>
            <w:pPr>
              <w:spacing w:line="276" w:lineRule="auto"/>
              <w:jc w:val="both"/>
              <w:rPr>
                <w:rFonts w:ascii="Arial" w:hAnsi="Arial" w:cs="Arial"/>
                <w:lang w:val="sr-Cyrl-RS"/>
              </w:rPr>
            </w:pPr>
            <w:r>
              <w:rPr>
                <w:rFonts w:ascii="Arial" w:hAnsi="Arial" w:cs="Arial"/>
                <w:lang w:val="sr-Cyrl-RS"/>
              </w:rPr>
              <w:t>-Промоција</w:t>
            </w:r>
          </w:p>
        </w:tc>
        <w:tc>
          <w:tcPr>
            <w:tcW w:w="1607" w:type="dxa"/>
          </w:tcPr>
          <w:p>
            <w:pPr>
              <w:rPr>
                <w:rFonts w:ascii="Arial" w:hAnsi="Arial" w:cs="Arial"/>
                <w:lang w:val="sr-Cyrl-RS"/>
              </w:rPr>
            </w:pPr>
            <w:r>
              <w:rPr>
                <w:rFonts w:ascii="Arial" w:hAnsi="Arial" w:cs="Arial"/>
                <w:lang w:val="sr-Cyrl-RS"/>
              </w:rPr>
              <w:t>Општина Гаџин Хан</w:t>
            </w:r>
          </w:p>
        </w:tc>
        <w:tc>
          <w:tcPr>
            <w:tcW w:w="1651" w:type="dxa"/>
          </w:tcPr>
          <w:p>
            <w:pPr>
              <w:rPr>
                <w:rFonts w:ascii="Arial" w:hAnsi="Arial" w:cs="Arial"/>
                <w:lang w:val="sr-Cyrl-RS"/>
              </w:rPr>
            </w:pPr>
            <w:r>
              <w:rPr>
                <w:rFonts w:ascii="Arial" w:hAnsi="Arial" w:cs="Arial"/>
                <w:lang w:val="sr-Cyrl-RS"/>
              </w:rPr>
              <w:t>5 година по фазама у односу на приоритете</w:t>
            </w:r>
          </w:p>
        </w:tc>
        <w:tc>
          <w:tcPr>
            <w:tcW w:w="2507" w:type="dxa"/>
          </w:tcPr>
          <w:p>
            <w:pPr>
              <w:rPr>
                <w:rFonts w:ascii="Arial" w:hAnsi="Arial" w:cs="Arial"/>
                <w:lang w:val="sr-Cyrl-RS"/>
              </w:rPr>
            </w:pPr>
            <w:r>
              <w:rPr>
                <w:rFonts w:ascii="Arial" w:hAnsi="Arial" w:cs="Arial"/>
                <w:lang w:val="sr-Cyrl-RS"/>
              </w:rPr>
              <w:t xml:space="preserve">Општина Гаџин Хан, </w:t>
            </w:r>
          </w:p>
          <w:p>
            <w:pPr>
              <w:rPr>
                <w:rFonts w:ascii="Arial" w:hAnsi="Arial" w:cs="Arial"/>
                <w:color w:val="FF0000"/>
                <w:lang w:val="sr-Cyrl-RS"/>
              </w:rPr>
            </w:pPr>
            <w:r>
              <w:rPr>
                <w:rFonts w:ascii="Arial" w:hAnsi="Arial" w:cs="Arial"/>
                <w:lang w:val="sr-Cyrl-RS"/>
              </w:rPr>
              <w:t>Средства донатора (ЕУ фондови, Светска банка)</w:t>
            </w:r>
          </w:p>
          <w:p>
            <w:pPr>
              <w:rPr>
                <w:rFonts w:ascii="Arial" w:hAnsi="Arial" w:cs="Arial"/>
                <w:color w:val="FF0000"/>
                <w:lang w:val="sr-Cyrl-RS"/>
              </w:rPr>
            </w:pPr>
          </w:p>
          <w:p>
            <w:pPr>
              <w:rPr>
                <w:rFonts w:ascii="Arial" w:hAnsi="Arial" w:cs="Arial"/>
                <w:color w:val="FF0000"/>
                <w:lang w:val="sr-Cyrl-RS"/>
              </w:rPr>
            </w:pPr>
          </w:p>
        </w:tc>
        <w:tc>
          <w:tcPr>
            <w:tcW w:w="1671" w:type="dxa"/>
          </w:tcPr>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lang w:val="sr-Cyrl-RS"/>
              </w:rPr>
              <w:t>-Број ревитализовани воденица</w:t>
            </w:r>
          </w:p>
        </w:tc>
      </w:tr>
    </w:tbl>
    <w:p>
      <w:pPr>
        <w:rPr>
          <w:rFonts w:ascii="Arial" w:hAnsi="Arial" w:cs="Arial"/>
          <w:color w:val="FF0000"/>
          <w:lang w:val="sr-Cyrl-RS"/>
        </w:rPr>
      </w:pPr>
    </w:p>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2093"/>
        <w:gridCol w:w="2874"/>
        <w:gridCol w:w="1654"/>
        <w:gridCol w:w="1567"/>
        <w:gridCol w:w="2261"/>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shd w:val="clear" w:color="auto" w:fill="DEEBF7"/>
          </w:tcPr>
          <w:p>
            <w:pPr>
              <w:rPr>
                <w:rFonts w:ascii="Arial" w:hAnsi="Arial" w:cs="Arial"/>
                <w:color w:val="000000" w:themeColor="text1"/>
                <w:lang w:val="sr-Cyrl-RS"/>
                <w14:textFill>
                  <w14:solidFill>
                    <w14:schemeClr w14:val="tx1"/>
                  </w14:solidFill>
                </w14:textFill>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color w:val="000000" w:themeColor="text1"/>
                <w:lang w:val="sr-Cyrl-RS"/>
                <w14:textFill>
                  <w14:solidFill>
                    <w14:schemeClr w14:val="tx1"/>
                  </w14:solidFill>
                </w14:textFill>
              </w:rPr>
              <w:t>Унапређење и промоција типичних производа гастрономије и гастрономских манифестација Гаџиног Хана- Суве планине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tcPr>
          <w:p>
            <w:pPr>
              <w:rPr>
                <w:rFonts w:ascii="Arial" w:hAnsi="Arial" w:cs="Arial"/>
                <w:b/>
                <w:bCs/>
                <w:lang w:val="sr-Cyrl-RS"/>
              </w:rPr>
            </w:pPr>
            <w:r>
              <w:rPr>
                <w:rFonts w:ascii="Arial" w:hAnsi="Arial" w:cs="Arial"/>
                <w:b/>
                <w:bCs/>
                <w:lang w:val="sr-Cyrl-RS"/>
              </w:rPr>
              <w:t>Оперативни циљ</w:t>
            </w:r>
          </w:p>
        </w:tc>
        <w:tc>
          <w:tcPr>
            <w:tcW w:w="2232" w:type="dxa"/>
          </w:tcPr>
          <w:p>
            <w:pPr>
              <w:rPr>
                <w:rFonts w:ascii="Arial" w:hAnsi="Arial" w:cs="Arial"/>
                <w:b/>
                <w:bCs/>
                <w:lang w:val="sr-Cyrl-RS"/>
              </w:rPr>
            </w:pPr>
            <w:r>
              <w:rPr>
                <w:rFonts w:ascii="Arial" w:hAnsi="Arial" w:cs="Arial"/>
                <w:b/>
                <w:bCs/>
                <w:lang w:val="sr-Cyrl-RS"/>
              </w:rPr>
              <w:t>Мера 3.1</w:t>
            </w:r>
          </w:p>
        </w:tc>
        <w:tc>
          <w:tcPr>
            <w:tcW w:w="2917"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300" w:type="dxa"/>
          </w:tcPr>
          <w:p>
            <w:pPr>
              <w:rPr>
                <w:rFonts w:ascii="Arial" w:hAnsi="Arial" w:cs="Arial"/>
                <w:b/>
                <w:bCs/>
                <w:lang w:val="sr-Cyrl-RS"/>
              </w:rPr>
            </w:pPr>
            <w:r>
              <w:rPr>
                <w:rFonts w:ascii="Arial" w:hAnsi="Arial" w:cs="Arial"/>
                <w:b/>
                <w:bCs/>
                <w:lang w:val="sr-Cyrl-RS"/>
              </w:rPr>
              <w:t>Извори финансирања:</w:t>
            </w:r>
          </w:p>
        </w:tc>
        <w:tc>
          <w:tcPr>
            <w:tcW w:w="1651"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Специјализација ,диверсификација и промоција гастрономске понуде дестинације</w:t>
            </w:r>
          </w:p>
        </w:tc>
        <w:tc>
          <w:tcPr>
            <w:tcW w:w="2232" w:type="dxa"/>
          </w:tcPr>
          <w:p>
            <w:pPr>
              <w:rPr>
                <w:rFonts w:ascii="Arial" w:hAnsi="Arial" w:cs="Arial"/>
                <w:bCs/>
                <w:lang w:val="sr-Cyrl-RS"/>
              </w:rPr>
            </w:pPr>
            <w:r>
              <w:rPr>
                <w:rFonts w:ascii="Arial" w:hAnsi="Arial" w:cs="Arial"/>
                <w:bCs/>
                <w:color w:val="000000" w:themeColor="text1"/>
                <w:lang w:val="sr-Cyrl-RS"/>
                <w14:textFill>
                  <w14:solidFill>
                    <w14:schemeClr w14:val="tx1"/>
                  </w14:solidFill>
                </w14:textFill>
              </w:rPr>
              <w:t>Унапређење и развој производа гастрономија и манифестационог туризма</w:t>
            </w:r>
          </w:p>
        </w:tc>
        <w:tc>
          <w:tcPr>
            <w:tcW w:w="2917" w:type="dxa"/>
          </w:tcPr>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правила и стандарда традиционалне производње (од дефинисања географског подручја, правила узгоја, до техника обраде)</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-Брендирање (ознаке, визуални идентитет, стандарди паковања, итд.)</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-Означавање врсте ресторана, прилагођавање дела јеловника типичним производима краја, означавање винарија</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-Спровођење едукација о вредности типичних производа, важности паковања у стандардизацији и сертификацији производа</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-Спровођење едукација и контроле квалитета хране и вина</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-Креирање неколико јела са типичним производима, презентованих на савремени начин (“Воденички доручак”, “Здрави залогаји Суве планине” и сл.)</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-Успостављање гастро догађаја “Кувај и пробај”- радионице на отвореном</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-Креирање тематске руте “Воденичарски точак” или слично</w:t>
            </w:r>
          </w:p>
          <w:p>
            <w:pPr>
              <w:autoSpaceDE w:val="0"/>
              <w:adjustRightInd w:val="0"/>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-Креирање догађаја (унапређење постојећих манифестација)</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-Израда промотивног материјала (брошура „Гастономија Суве планине“)</w:t>
            </w:r>
          </w:p>
        </w:tc>
        <w:tc>
          <w:tcPr>
            <w:tcW w:w="160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Туристичка организација општине Гаџин Хан</w:t>
            </w:r>
          </w:p>
        </w:tc>
        <w:tc>
          <w:tcPr>
            <w:tcW w:w="1651" w:type="dxa"/>
          </w:tcPr>
          <w:p>
            <w:pPr>
              <w:rPr>
                <w:rFonts w:ascii="Arial" w:hAnsi="Arial" w:cs="Arial"/>
                <w:lang w:val="sr-Cyrl-RS"/>
              </w:rPr>
            </w:pPr>
            <w:r>
              <w:rPr>
                <w:rFonts w:ascii="Arial" w:hAnsi="Arial" w:cs="Arial"/>
                <w:lang w:val="sr-Cyrl-RS"/>
              </w:rPr>
              <w:t>1-2 године</w:t>
            </w:r>
          </w:p>
        </w:tc>
        <w:tc>
          <w:tcPr>
            <w:tcW w:w="2300" w:type="dxa"/>
          </w:tcPr>
          <w:p>
            <w:pPr>
              <w:rPr>
                <w:rFonts w:ascii="Arial" w:hAnsi="Arial" w:cs="Arial"/>
                <w:lang w:val="sr-Cyrl-RS"/>
              </w:rPr>
            </w:pPr>
            <w:r>
              <w:rPr>
                <w:rFonts w:ascii="Arial" w:hAnsi="Arial" w:cs="Arial"/>
                <w:lang w:val="sr-Cyrl-RS"/>
              </w:rPr>
              <w:t xml:space="preserve">Општина Гаџин Хан, </w:t>
            </w:r>
          </w:p>
          <w:p>
            <w:pPr>
              <w:rPr>
                <w:rFonts w:ascii="Arial" w:hAnsi="Arial" w:cs="Arial"/>
                <w:lang w:val="sr-Cyrl-RS"/>
              </w:rPr>
            </w:pPr>
            <w:r>
              <w:rPr>
                <w:rFonts w:ascii="Arial" w:hAnsi="Arial" w:cs="Arial"/>
                <w:lang w:val="sr-Cyrl-RS"/>
              </w:rPr>
              <w:t>Туристичка организација општине Гаџин Хан</w:t>
            </w:r>
          </w:p>
          <w:p>
            <w:pPr>
              <w:rPr>
                <w:rFonts w:ascii="Arial" w:hAnsi="Arial" w:cs="Arial"/>
                <w:color w:val="FF0000"/>
                <w:lang w:val="sr-Cyrl-RS"/>
              </w:rPr>
            </w:pPr>
          </w:p>
        </w:tc>
        <w:tc>
          <w:tcPr>
            <w:tcW w:w="1651" w:type="dxa"/>
          </w:tcPr>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-База са тачним бројем активних регистрованих произвођачима хране</w:t>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учесника едукације „Креирање туристичких пакета“</w:t>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нових производа „Гастро пакети“</w:t>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учесника тренинга – Организација догађаја, припремне и промотивне активности</w:t>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одштампаних брошура или дигиталних преуѕетих са интернета „Гастрономске манифестације “</w:t>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медијских извештаја</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2020"/>
        <w:gridCol w:w="3154"/>
        <w:gridCol w:w="1654"/>
        <w:gridCol w:w="1642"/>
        <w:gridCol w:w="2526"/>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shd w:val="clear" w:color="auto" w:fill="DEEBF7"/>
          </w:tcPr>
          <w:p>
            <w:pPr>
              <w:spacing w:line="276" w:lineRule="auto"/>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Повећање броја радних места и квалификација у туризму</w:t>
            </w:r>
            <w: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t xml:space="preserve"> - Повећање квантитета и квалитета смештајних објеката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ascii="Arial" w:hAnsi="Arial" w:cs="Arial"/>
                <w:b/>
                <w:bCs/>
                <w:lang w:val="sr-Cyrl-RS"/>
              </w:rPr>
            </w:pPr>
            <w:r>
              <w:rPr>
                <w:rFonts w:ascii="Arial" w:hAnsi="Arial" w:cs="Arial"/>
                <w:b/>
                <w:bCs/>
                <w:lang w:val="sr-Cyrl-RS"/>
              </w:rPr>
              <w:t>Оперативни циљ</w:t>
            </w:r>
          </w:p>
        </w:tc>
        <w:tc>
          <w:tcPr>
            <w:tcW w:w="2027" w:type="dxa"/>
          </w:tcPr>
          <w:p>
            <w:pPr>
              <w:rPr>
                <w:rFonts w:ascii="Arial" w:hAnsi="Arial" w:cs="Arial"/>
                <w:b/>
                <w:bCs/>
                <w:lang w:val="sr-Cyrl-RS"/>
              </w:rPr>
            </w:pPr>
            <w:r>
              <w:rPr>
                <w:rFonts w:ascii="Arial" w:hAnsi="Arial" w:cs="Arial"/>
                <w:b/>
                <w:bCs/>
                <w:lang w:val="sr-Cyrl-RS"/>
              </w:rPr>
              <w:t>Мера 3.2</w:t>
            </w:r>
          </w:p>
        </w:tc>
        <w:tc>
          <w:tcPr>
            <w:tcW w:w="3162"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533" w:type="dxa"/>
          </w:tcPr>
          <w:p>
            <w:pPr>
              <w:rPr>
                <w:rFonts w:ascii="Arial" w:hAnsi="Arial" w:cs="Arial"/>
                <w:b/>
                <w:bCs/>
                <w:lang w:val="sr-Cyrl-RS"/>
              </w:rPr>
            </w:pPr>
            <w:r>
              <w:rPr>
                <w:rFonts w:ascii="Arial" w:hAnsi="Arial" w:cs="Arial"/>
                <w:b/>
                <w:bCs/>
                <w:lang w:val="sr-Cyrl-RS"/>
              </w:rPr>
              <w:t>Извори финансирања:</w:t>
            </w:r>
          </w:p>
        </w:tc>
        <w:tc>
          <w:tcPr>
            <w:tcW w:w="1672"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Конкурс за сређивање и унапређење смештајних капацитета на територији општине Гаџин Хан</w:t>
            </w:r>
          </w:p>
        </w:tc>
        <w:tc>
          <w:tcPr>
            <w:tcW w:w="202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Повећање и унапређење капацитета регистрованих смештајних капацитета</w:t>
            </w:r>
          </w:p>
        </w:tc>
        <w:tc>
          <w:tcPr>
            <w:tcW w:w="3162" w:type="dxa"/>
          </w:tcPr>
          <w:p>
            <w:pPr>
              <w:autoSpaceDE w:val="0"/>
              <w:autoSpaceDN w:val="0"/>
              <w:adjustRightInd w:val="0"/>
              <w:spacing w:line="360"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-Утврђивање стандарда за добијање средстава</w:t>
            </w:r>
          </w:p>
          <w:p>
            <w:pPr>
              <w:autoSpaceDE w:val="0"/>
              <w:autoSpaceDN w:val="0"/>
              <w:adjustRightInd w:val="0"/>
              <w:spacing w:line="360"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-Расписивање конкурса </w:t>
            </w:r>
          </w:p>
          <w:p>
            <w:pPr>
              <w:rPr>
                <w:rFonts w:ascii="Arial" w:hAnsi="Arial" w:cs="Arial"/>
                <w:color w:val="0D0D0D" w:themeColor="text1" w:themeTint="F2"/>
                <w:lang w:val="sr-Cyrl-RS"/>
                <w14:textFill>
                  <w14:solidFill>
                    <w14:schemeClr w14:val="tx1">
                      <w14:lumMod w14:val="95000"/>
                      <w14:lumOff w14:val="5000"/>
                    </w14:schemeClr>
                  </w14:solidFill>
                </w14:textFill>
              </w:rPr>
            </w:pPr>
            <w: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t>-Креирање базе пружаоца услуга у категоризованом смештају, пољопривредним газдинства и малим предузећима и предузетницима</w:t>
            </w:r>
          </w:p>
          <w:p>
            <w:pPr>
              <w:rPr>
                <w:rFonts w:ascii="Arial" w:hAnsi="Arial" w:cs="Arial"/>
                <w:color w:val="0D0D0D" w:themeColor="text1" w:themeTint="F2"/>
                <w:lang w:val="sr-Cyrl-RS"/>
                <w14:textFill>
                  <w14:solidFill>
                    <w14:schemeClr w14:val="tx1">
                      <w14:lumMod w14:val="95000"/>
                      <w14:lumOff w14:val="5000"/>
                    </w14:schemeClr>
                  </w14:solidFill>
                </w14:textFill>
              </w:rPr>
            </w:pPr>
            <w:r>
              <w:rPr>
                <w:rFonts w:ascii="Arial" w:hAnsi="Arial" w:cs="Arial"/>
                <w:color w:val="0D0D0D" w:themeColor="text1" w:themeTint="F2"/>
                <w:lang w:val="sr-Cyrl-RS"/>
                <w14:textFill>
                  <w14:solidFill>
                    <w14:schemeClr w14:val="tx1">
                      <w14:lumMod w14:val="95000"/>
                      <w14:lumOff w14:val="5000"/>
                    </w14:schemeClr>
                  </w14:solidFill>
                </w14:textFill>
              </w:rPr>
              <w:t>-Распоређивање средстава и контрола изведених радова и трошкова</w:t>
            </w:r>
          </w:p>
          <w:p>
            <w:pPr>
              <w:spacing w:line="276" w:lineRule="auto"/>
              <w:jc w:val="both"/>
              <w:rPr>
                <w:rFonts w:ascii="Arial" w:hAnsi="Arial" w:cs="Arial"/>
                <w:lang w:val="sr-Cyrl-RS"/>
              </w:rPr>
            </w:pPr>
            <w:r>
              <w:rPr>
                <w:rFonts w:ascii="Arial" w:hAnsi="Arial" w:cs="Arial"/>
                <w:color w:val="0D0D0D" w:themeColor="text1" w:themeTint="F2"/>
                <w:lang w:val="sr-Cyrl-RS"/>
                <w14:textFill>
                  <w14:solidFill>
                    <w14:schemeClr w14:val="tx1">
                      <w14:lumMod w14:val="95000"/>
                      <w14:lumOff w14:val="5000"/>
                    </w14:schemeClr>
                  </w14:solidFill>
                </w14:textFill>
              </w:rPr>
              <w:t>-Едукација пружаоца услуга</w:t>
            </w:r>
          </w:p>
        </w:tc>
        <w:tc>
          <w:tcPr>
            <w:tcW w:w="160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Општина Гаџин Хан ТО Гаџин Хан</w:t>
            </w:r>
          </w:p>
        </w:tc>
        <w:tc>
          <w:tcPr>
            <w:tcW w:w="1651" w:type="dxa"/>
          </w:tcPr>
          <w:p>
            <w:pPr>
              <w:rPr>
                <w:rFonts w:ascii="Arial" w:hAnsi="Arial" w:cs="Arial"/>
                <w:lang w:val="sr-Cyrl-RS"/>
              </w:rPr>
            </w:pPr>
            <w:r>
              <w:rPr>
                <w:rFonts w:ascii="Arial" w:hAnsi="Arial" w:cs="Arial"/>
                <w:lang w:val="sr-Cyrl-RS"/>
              </w:rPr>
              <w:t>1-5 година</w:t>
            </w:r>
          </w:p>
        </w:tc>
        <w:tc>
          <w:tcPr>
            <w:tcW w:w="2533" w:type="dxa"/>
          </w:tcPr>
          <w:p>
            <w:pP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pPr>
            <w: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t xml:space="preserve">Општина Гаџин Хан, </w:t>
            </w:r>
          </w:p>
          <w:p>
            <w:pP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pPr>
            <w: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t>Туристичка организација општине Гаџин Хан,</w:t>
            </w:r>
          </w:p>
          <w:p>
            <w:pP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pPr>
            <w:r>
              <w:rPr>
                <w:rFonts w:ascii="Arial" w:hAnsi="Arial" w:cs="Arial"/>
                <w:color w:val="0D0D0D" w:themeColor="text1" w:themeTint="F2"/>
                <w:shd w:val="clear" w:color="auto" w:fill="FFFFFF"/>
                <w:lang w:val="sr-Cyrl-RS"/>
                <w14:textFill>
                  <w14:solidFill>
                    <w14:schemeClr w14:val="tx1">
                      <w14:lumMod w14:val="95000"/>
                      <w14:lumOff w14:val="5000"/>
                    </w14:schemeClr>
                  </w14:solidFill>
                </w14:textFill>
              </w:rPr>
              <w:t>Приватни предузетници, власници објеката за издавање смештаја</w:t>
            </w:r>
          </w:p>
          <w:p>
            <w:pPr>
              <w:rPr>
                <w:rFonts w:ascii="Arial" w:hAnsi="Arial" w:cs="Arial"/>
                <w:color w:val="FF0000"/>
                <w:lang w:val="sr-Cyrl-RS"/>
              </w:rPr>
            </w:pPr>
          </w:p>
        </w:tc>
        <w:tc>
          <w:tcPr>
            <w:tcW w:w="1672" w:type="dxa"/>
          </w:tcPr>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сређених и новоотворених објеката</w:t>
            </w:r>
            <w:r>
              <w:rPr>
                <w:rFonts w:ascii="Arial" w:hAnsi="Arial" w:cs="Arial"/>
                <w:color w:val="000000" w:themeColor="text1"/>
                <w:lang w:val="sr-Cyrl-RS"/>
                <w14:textFill>
                  <w14:solidFill>
                    <w14:schemeClr w14:val="tx1"/>
                  </w14:solidFill>
                </w14:textFill>
              </w:rPr>
              <w:tab/>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ноћења на дестинацији</w:t>
            </w:r>
            <w:r>
              <w:rPr>
                <w:rFonts w:ascii="Arial" w:hAnsi="Arial" w:cs="Arial"/>
                <w:color w:val="000000" w:themeColor="text1"/>
                <w:lang w:val="sr-Cyrl-RS"/>
                <w14:textFill>
                  <w14:solidFill>
                    <w14:schemeClr w14:val="tx1"/>
                  </w14:solidFill>
                </w14:textFill>
              </w:rPr>
              <w:tab/>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група које су посетиле дестинацију</w:t>
            </w:r>
          </w:p>
          <w:p>
            <w:pPr>
              <w:suppressAutoHyphens/>
              <w:autoSpaceDN w:val="0"/>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-Повећање броја запослених у туризму</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јединица и кревета на дестинацији</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994"/>
        <w:gridCol w:w="3152"/>
        <w:gridCol w:w="1654"/>
        <w:gridCol w:w="1751"/>
        <w:gridCol w:w="2431"/>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shd w:val="clear" w:color="auto" w:fill="2E74B5"/>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Унапређење видљивости дестинације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повећање укупних прихода од туризма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rPr>
                <w:rFonts w:ascii="Arial" w:hAnsi="Arial" w:cs="Arial"/>
                <w:b/>
                <w:bCs/>
                <w:lang w:val="sr-Cyrl-RS"/>
              </w:rPr>
            </w:pPr>
            <w:r>
              <w:rPr>
                <w:rFonts w:ascii="Arial" w:hAnsi="Arial" w:cs="Arial"/>
                <w:b/>
                <w:bCs/>
                <w:lang w:val="sr-Cyrl-RS"/>
              </w:rPr>
              <w:t>Оперативни циљ</w:t>
            </w:r>
          </w:p>
        </w:tc>
        <w:tc>
          <w:tcPr>
            <w:tcW w:w="2014" w:type="dxa"/>
          </w:tcPr>
          <w:p>
            <w:pPr>
              <w:rPr>
                <w:rFonts w:ascii="Arial" w:hAnsi="Arial" w:cs="Arial"/>
                <w:b/>
                <w:bCs/>
                <w:lang w:val="sr-Cyrl-RS"/>
              </w:rPr>
            </w:pPr>
            <w:r>
              <w:rPr>
                <w:rFonts w:ascii="Arial" w:hAnsi="Arial" w:cs="Arial"/>
                <w:b/>
                <w:bCs/>
                <w:lang w:val="sr-Cyrl-RS"/>
              </w:rPr>
              <w:t>Мера 4.1</w:t>
            </w:r>
          </w:p>
        </w:tc>
        <w:tc>
          <w:tcPr>
            <w:tcW w:w="3162"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745" w:type="dxa"/>
          </w:tcPr>
          <w:p>
            <w:pPr>
              <w:rPr>
                <w:rFonts w:ascii="Arial" w:hAnsi="Arial" w:cs="Arial"/>
                <w:b/>
                <w:bCs/>
                <w:lang w:val="sr-Cyrl-RS"/>
              </w:rPr>
            </w:pPr>
            <w:r>
              <w:rPr>
                <w:rFonts w:ascii="Arial" w:hAnsi="Arial" w:cs="Arial"/>
                <w:b/>
                <w:bCs/>
                <w:lang w:val="sr-Cyrl-RS"/>
              </w:rPr>
              <w:t>Време реализације крајњи рок:</w:t>
            </w:r>
          </w:p>
        </w:tc>
        <w:tc>
          <w:tcPr>
            <w:tcW w:w="2439" w:type="dxa"/>
          </w:tcPr>
          <w:p>
            <w:pPr>
              <w:rPr>
                <w:rFonts w:ascii="Arial" w:hAnsi="Arial" w:cs="Arial"/>
                <w:b/>
                <w:bCs/>
                <w:lang w:val="sr-Cyrl-RS"/>
              </w:rPr>
            </w:pPr>
            <w:r>
              <w:rPr>
                <w:rFonts w:ascii="Arial" w:hAnsi="Arial" w:cs="Arial"/>
                <w:b/>
                <w:bCs/>
                <w:lang w:val="sr-Cyrl-RS"/>
              </w:rPr>
              <w:t>Извори финансирања:</w:t>
            </w:r>
          </w:p>
        </w:tc>
        <w:tc>
          <w:tcPr>
            <w:tcW w:w="1672"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Унапређење промотивних и маркетиншких активности дестинације Гаџин Хан-Сува планина</w:t>
            </w:r>
          </w:p>
        </w:tc>
        <w:tc>
          <w:tcPr>
            <w:tcW w:w="2014"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Спровођење оперативног маркетинг плана</w:t>
            </w:r>
          </w:p>
        </w:tc>
        <w:tc>
          <w:tcPr>
            <w:tcW w:w="3162" w:type="dxa"/>
          </w:tcPr>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-Креирање туристичких пакета и израда тематских рута</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веб сајта</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брошуре водич кроз Гаџин Хан и туристичке мапе</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-Организација едукација и радионица усавршавања запослених и представника туристичке привреде за успешно комуницирање са медијима и јавношћу са акцентом на дигиталне комуникације</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-Оглашавање на порталима, публикацијама и ТВ</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-Истраживање домаћег туристичке тражње у Србији</w:t>
            </w:r>
          </w:p>
          <w:p>
            <w:pPr>
              <w:autoSpaceDE w:val="0"/>
              <w:adjustRightInd w:val="0"/>
              <w:spacing w:after="120" w:line="276" w:lineRule="auto"/>
              <w:contextualSpacing/>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-Израда сувенира Гаџиног Хана</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-Промоција дестинације на дефинисаним сајмовима, односно туристичким догађајима</w:t>
            </w:r>
          </w:p>
        </w:tc>
        <w:tc>
          <w:tcPr>
            <w:tcW w:w="160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Туристичка организација општине Гаџин Хан</w:t>
            </w:r>
          </w:p>
        </w:tc>
        <w:tc>
          <w:tcPr>
            <w:tcW w:w="1745" w:type="dxa"/>
          </w:tcPr>
          <w:p>
            <w:pPr>
              <w:rPr>
                <w:rFonts w:ascii="Arial" w:hAnsi="Arial" w:cs="Arial"/>
                <w:lang w:val="sr-Cyrl-RS"/>
              </w:rPr>
            </w:pPr>
            <w:r>
              <w:rPr>
                <w:rFonts w:ascii="Arial" w:hAnsi="Arial" w:cs="Arial"/>
                <w:lang w:val="sr-Cyrl-RS"/>
              </w:rPr>
              <w:t>4 године континуирано</w:t>
            </w:r>
          </w:p>
        </w:tc>
        <w:tc>
          <w:tcPr>
            <w:tcW w:w="2439" w:type="dxa"/>
          </w:tcPr>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Туристичка организација , Општина Гаџин Хан,</w:t>
            </w:r>
          </w:p>
          <w:p>
            <w:pPr>
              <w:rPr>
                <w:rFonts w:ascii="Arial" w:hAnsi="Arial" w:cs="Arial"/>
                <w:lang w:val="sr-Cyrl-RS"/>
              </w:rPr>
            </w:pPr>
            <w:r>
              <w:rPr>
                <w:rFonts w:ascii="Arial" w:hAnsi="Arial" w:cs="Arial"/>
                <w:lang w:val="sr-Cyrl-RS"/>
              </w:rPr>
              <w:t>Средства донатора</w:t>
            </w:r>
          </w:p>
          <w:p>
            <w:pPr>
              <w:rPr>
                <w:rFonts w:ascii="Arial" w:hAnsi="Arial" w:cs="Arial"/>
                <w:color w:val="FF0000"/>
                <w:lang w:val="sr-Cyrl-RS"/>
              </w:rPr>
            </w:pPr>
          </w:p>
        </w:tc>
        <w:tc>
          <w:tcPr>
            <w:tcW w:w="1672" w:type="dxa"/>
          </w:tcPr>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брошура, и мапа</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-Број објава на друштвеним мрежама и број свиђања </w:t>
            </w:r>
          </w:p>
          <w:p>
            <w:pPr>
              <w:suppressAutoHyphens/>
              <w:autoSpaceDN w:val="0"/>
              <w:spacing w:line="276" w:lineRule="auto"/>
              <w:jc w:val="both"/>
              <w:textAlignment w:val="baseline"/>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реализованих догађаја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Број туриста и ноћења</w:t>
            </w:r>
          </w:p>
        </w:tc>
      </w:tr>
    </w:tbl>
    <w:p>
      <w:pPr>
        <w:rPr>
          <w:rFonts w:ascii="Arial" w:hAnsi="Arial" w:cs="Arial"/>
          <w:color w:val="FF0000"/>
          <w:lang w:val="sr-Cyrl-RS"/>
        </w:rPr>
      </w:pPr>
    </w:p>
    <w:tbl>
      <w:tblPr>
        <w:tblStyle w:val="30"/>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2018"/>
        <w:gridCol w:w="3144"/>
        <w:gridCol w:w="1654"/>
        <w:gridCol w:w="1640"/>
        <w:gridCol w:w="2516"/>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6" w:type="dxa"/>
            <w:gridSpan w:val="7"/>
            <w:shd w:val="clear" w:color="auto" w:fill="2E74B5"/>
          </w:tcPr>
          <w:p>
            <w:pPr>
              <w:rPr>
                <w:rFonts w:ascii="Arial" w:hAnsi="Arial" w:cs="Arial"/>
                <w:lang w:val="sr-Cyrl-RS"/>
              </w:rPr>
            </w:pPr>
            <w:r>
              <w:rPr>
                <w:rFonts w:ascii="Arial" w:hAnsi="Arial" w:cs="Arial"/>
                <w:lang w:val="sr-Cyrl-RS"/>
              </w:rPr>
              <w:t xml:space="preserve">Општи циљ </w:t>
            </w:r>
            <w:r>
              <w:rPr>
                <w:rFonts w:ascii="Arial" w:hAnsi="Arial" w:cs="Arial"/>
                <w:lang w:val="ru-RU"/>
              </w:rPr>
              <w:t xml:space="preserve">/ </w:t>
            </w:r>
            <w:r>
              <w:rPr>
                <w:rFonts w:ascii="Arial" w:hAnsi="Arial" w:cs="Arial"/>
                <w:lang w:val="sr-Cyrl-RS"/>
              </w:rPr>
              <w:t xml:space="preserve">Стратешки циљ : </w:t>
            </w:r>
            <w:r>
              <w:rPr>
                <w:rFonts w:ascii="Arial" w:hAnsi="Arial" w:cs="Arial"/>
                <w:b/>
                <w:bCs/>
                <w:color w:val="000000" w:themeColor="text1"/>
                <w:lang w:val="sr-Cyrl-RS"/>
                <w14:textFill>
                  <w14:solidFill>
                    <w14:schemeClr w14:val="tx1"/>
                  </w14:solidFill>
                </w14:textFill>
              </w:rPr>
              <w:t>Унапређење видљивости дестинације</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повећање укупних прихода од туризма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dxa"/>
          </w:tcPr>
          <w:p>
            <w:pPr>
              <w:rPr>
                <w:rFonts w:ascii="Arial" w:hAnsi="Arial" w:cs="Arial"/>
                <w:b/>
                <w:bCs/>
                <w:lang w:val="sr-Cyrl-RS"/>
              </w:rPr>
            </w:pPr>
            <w:r>
              <w:rPr>
                <w:rFonts w:ascii="Arial" w:hAnsi="Arial" w:cs="Arial"/>
                <w:b/>
                <w:bCs/>
                <w:lang w:val="sr-Cyrl-RS"/>
              </w:rPr>
              <w:t>Оперативни циљ</w:t>
            </w:r>
          </w:p>
        </w:tc>
        <w:tc>
          <w:tcPr>
            <w:tcW w:w="2026" w:type="dxa"/>
          </w:tcPr>
          <w:p>
            <w:pPr>
              <w:rPr>
                <w:rFonts w:ascii="Arial" w:hAnsi="Arial" w:cs="Arial"/>
                <w:b/>
                <w:bCs/>
                <w:lang w:val="sr-Cyrl-RS"/>
              </w:rPr>
            </w:pPr>
            <w:r>
              <w:rPr>
                <w:rFonts w:ascii="Arial" w:hAnsi="Arial" w:cs="Arial"/>
                <w:b/>
                <w:bCs/>
                <w:lang w:val="sr-Cyrl-RS"/>
              </w:rPr>
              <w:t>Мера 4.1</w:t>
            </w:r>
          </w:p>
        </w:tc>
        <w:tc>
          <w:tcPr>
            <w:tcW w:w="3155" w:type="dxa"/>
          </w:tcPr>
          <w:p>
            <w:pPr>
              <w:rPr>
                <w:rFonts w:ascii="Arial" w:hAnsi="Arial" w:cs="Arial"/>
                <w:b/>
                <w:bCs/>
              </w:rPr>
            </w:pPr>
            <w:r>
              <w:rPr>
                <w:rFonts w:ascii="Arial" w:hAnsi="Arial" w:cs="Arial"/>
                <w:b/>
                <w:bCs/>
                <w:lang w:val="sr-Cyrl-RS"/>
              </w:rPr>
              <w:t>Активност/Пројекат</w:t>
            </w:r>
          </w:p>
        </w:tc>
        <w:tc>
          <w:tcPr>
            <w:tcW w:w="1607" w:type="dxa"/>
          </w:tcPr>
          <w:p>
            <w:pPr>
              <w:rPr>
                <w:rFonts w:ascii="Arial" w:hAnsi="Arial" w:cs="Arial"/>
                <w:b/>
                <w:bCs/>
                <w:lang w:val="sr-Cyrl-RS"/>
              </w:rPr>
            </w:pPr>
            <w:r>
              <w:rPr>
                <w:rFonts w:ascii="Arial" w:hAnsi="Arial" w:cs="Arial"/>
                <w:b/>
                <w:bCs/>
                <w:lang w:val="sr-Cyrl-RS"/>
              </w:rPr>
              <w:t>Одговорне институције</w:t>
            </w:r>
          </w:p>
        </w:tc>
        <w:tc>
          <w:tcPr>
            <w:tcW w:w="1651" w:type="dxa"/>
          </w:tcPr>
          <w:p>
            <w:pPr>
              <w:rPr>
                <w:rFonts w:ascii="Arial" w:hAnsi="Arial" w:cs="Arial"/>
                <w:b/>
                <w:bCs/>
                <w:lang w:val="sr-Cyrl-RS"/>
              </w:rPr>
            </w:pPr>
            <w:r>
              <w:rPr>
                <w:rFonts w:ascii="Arial" w:hAnsi="Arial" w:cs="Arial"/>
                <w:b/>
                <w:bCs/>
                <w:lang w:val="sr-Cyrl-RS"/>
              </w:rPr>
              <w:t>Време реализације крајњи рок:</w:t>
            </w:r>
          </w:p>
        </w:tc>
        <w:tc>
          <w:tcPr>
            <w:tcW w:w="2526" w:type="dxa"/>
          </w:tcPr>
          <w:p>
            <w:pPr>
              <w:rPr>
                <w:rFonts w:ascii="Arial" w:hAnsi="Arial" w:cs="Arial"/>
                <w:b/>
                <w:bCs/>
                <w:lang w:val="sr-Cyrl-RS"/>
              </w:rPr>
            </w:pPr>
            <w:r>
              <w:rPr>
                <w:rFonts w:ascii="Arial" w:hAnsi="Arial" w:cs="Arial"/>
                <w:b/>
                <w:bCs/>
                <w:lang w:val="sr-Cyrl-RS"/>
              </w:rPr>
              <w:t>Извори финансирања:</w:t>
            </w:r>
          </w:p>
        </w:tc>
        <w:tc>
          <w:tcPr>
            <w:tcW w:w="1672" w:type="dxa"/>
          </w:tcPr>
          <w:p>
            <w:pPr>
              <w:rPr>
                <w:rFonts w:ascii="Arial" w:hAnsi="Arial" w:cs="Arial"/>
                <w:b/>
                <w:bCs/>
                <w:lang w:val="sr-Cyrl-RS"/>
              </w:rPr>
            </w:pPr>
            <w:r>
              <w:rPr>
                <w:rFonts w:ascii="Arial" w:hAnsi="Arial" w:cs="Arial"/>
                <w:b/>
                <w:bCs/>
                <w:lang w:val="sr-Cyrl-RS"/>
              </w:rPr>
              <w:t>Индикатори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Постављање дигиталних инфо пунктова. Унапређење менаџмента и видљивости дестинације употребом интерактивних тотема креирањем унапређеног корисничког искуства приликом посете дестинацији.</w:t>
            </w:r>
          </w:p>
        </w:tc>
        <w:tc>
          <w:tcPr>
            <w:tcW w:w="2026"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Постављање мреже дигиталних инфо пунктова / интерактивних тотема на дестинацији</w:t>
            </w:r>
          </w:p>
        </w:tc>
        <w:tc>
          <w:tcPr>
            <w:tcW w:w="3155" w:type="dxa"/>
          </w:tcPr>
          <w:p>
            <w:pPr>
              <w:pBdr>
                <w:top w:val="none" w:color="auto" w:sz="0" w:space="0"/>
                <w:left w:val="none" w:color="auto" w:sz="0" w:space="0"/>
                <w:bottom w:val="none" w:color="auto" w:sz="0" w:space="0"/>
                <w:right w:val="none" w:color="auto" w:sz="0" w:space="0"/>
                <w:between w:val="none" w:color="auto" w:sz="0" w:space="0"/>
              </w:pBdr>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-Елаборат о постављању мреже интерактивних тотема</w:t>
            </w:r>
          </w:p>
          <w:p>
            <w:pPr>
              <w:pBdr>
                <w:top w:val="none" w:color="auto" w:sz="0" w:space="0"/>
                <w:left w:val="none" w:color="auto" w:sz="0" w:space="0"/>
                <w:bottom w:val="none" w:color="auto" w:sz="0" w:space="0"/>
                <w:right w:val="none" w:color="auto" w:sz="0" w:space="0"/>
                <w:between w:val="none" w:color="auto" w:sz="0" w:space="0"/>
              </w:pBdr>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-Дефинисање фреквентних места за постављање интерактивних тотема (предлог. Трг испред Општине Гаџин Хан, Доњи Душник испред Туристичког инфо центра и Еко камп Сува Планина), </w:t>
            </w:r>
          </w:p>
          <w:p>
            <w:pPr>
              <w:pBdr>
                <w:top w:val="none" w:color="auto" w:sz="0" w:space="0"/>
                <w:left w:val="none" w:color="auto" w:sz="0" w:space="0"/>
                <w:bottom w:val="none" w:color="auto" w:sz="0" w:space="0"/>
                <w:right w:val="none" w:color="auto" w:sz="0" w:space="0"/>
                <w:between w:val="none" w:color="auto" w:sz="0" w:space="0"/>
              </w:pBdr>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-Начин финансирања и реализације </w:t>
            </w:r>
          </w:p>
          <w:p>
            <w:pPr>
              <w:spacing w:line="276" w:lineRule="auto"/>
              <w:jc w:val="both"/>
              <w:rPr>
                <w:rFonts w:ascii="Arial" w:hAnsi="Arial" w:cs="Arial"/>
                <w:lang w:val="sr-Cyrl-RS"/>
              </w:rPr>
            </w:pPr>
            <w:r>
              <w:rPr>
                <w:rFonts w:ascii="Arial" w:hAnsi="Arial" w:cs="Arial"/>
                <w:color w:val="000000" w:themeColor="text1"/>
                <w:lang w:val="sr-Cyrl-RS"/>
                <w14:textFill>
                  <w14:solidFill>
                    <w14:schemeClr w14:val="tx1"/>
                  </w14:solidFill>
                </w14:textFill>
              </w:rPr>
              <w:t>-Евалуација и одржавање мреже.</w:t>
            </w:r>
          </w:p>
        </w:tc>
        <w:tc>
          <w:tcPr>
            <w:tcW w:w="1607" w:type="dxa"/>
          </w:tcPr>
          <w:p>
            <w:pPr>
              <w:rPr>
                <w:rFonts w:ascii="Arial" w:hAnsi="Arial" w:cs="Arial"/>
                <w:lang w:val="sr-Cyrl-RS"/>
              </w:rPr>
            </w:pPr>
            <w:r>
              <w:rPr>
                <w:rFonts w:ascii="Arial" w:hAnsi="Arial" w:cs="Arial"/>
                <w:color w:val="000000" w:themeColor="text1"/>
                <w:lang w:val="sr-Cyrl-RS"/>
                <w14:textFill>
                  <w14:solidFill>
                    <w14:schemeClr w14:val="tx1"/>
                  </w14:solidFill>
                </w14:textFill>
              </w:rPr>
              <w:t>Општина Гаџин Хан и ТО Гаџин Хан</w:t>
            </w:r>
          </w:p>
        </w:tc>
        <w:tc>
          <w:tcPr>
            <w:tcW w:w="1651" w:type="dxa"/>
          </w:tcPr>
          <w:p>
            <w:pPr>
              <w:rPr>
                <w:rFonts w:ascii="Arial" w:hAnsi="Arial" w:cs="Arial"/>
                <w:lang w:val="sr-Cyrl-RS"/>
              </w:rPr>
            </w:pPr>
            <w:r>
              <w:rPr>
                <w:rFonts w:ascii="Arial" w:hAnsi="Arial" w:cs="Arial"/>
                <w:lang w:val="sr-Cyrl-RS"/>
              </w:rPr>
              <w:t>6-12 месеци</w:t>
            </w:r>
          </w:p>
        </w:tc>
        <w:tc>
          <w:tcPr>
            <w:tcW w:w="2526" w:type="dxa"/>
          </w:tcPr>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 xml:space="preserve">Општина Гаџин Хан, </w:t>
            </w:r>
          </w:p>
          <w:p>
            <w:pPr>
              <w:rPr>
                <w:rFonts w:ascii="Arial" w:hAnsi="Arial" w:cs="Arial"/>
                <w:lang w:val="sr-Cyrl-RS"/>
              </w:rPr>
            </w:pPr>
            <w:r>
              <w:rPr>
                <w:rFonts w:ascii="Arial" w:hAnsi="Arial" w:cs="Arial"/>
                <w:lang w:val="sr-Cyrl-RS"/>
              </w:rPr>
              <w:t>Туристичка организација општине Гаџин Хан,</w:t>
            </w:r>
          </w:p>
          <w:p>
            <w:pPr>
              <w:rPr>
                <w:rFonts w:ascii="Arial" w:hAnsi="Arial" w:cs="Arial"/>
                <w:color w:val="FF0000"/>
                <w:lang w:val="sr-Cyrl-RS"/>
              </w:rPr>
            </w:pPr>
            <w:r>
              <w:rPr>
                <w:rFonts w:ascii="Arial" w:hAnsi="Arial" w:cs="Arial"/>
                <w:lang w:val="sr-Cyrl-RS"/>
              </w:rPr>
              <w:t>Средства донатора (ЕУ фондови)</w:t>
            </w:r>
          </w:p>
        </w:tc>
        <w:tc>
          <w:tcPr>
            <w:tcW w:w="1672" w:type="dxa"/>
          </w:tcPr>
          <w:p>
            <w:pPr>
              <w:pBdr>
                <w:top w:val="none" w:color="auto" w:sz="0" w:space="0"/>
                <w:left w:val="none" w:color="auto" w:sz="0" w:space="0"/>
                <w:bottom w:val="none" w:color="auto" w:sz="0" w:space="0"/>
                <w:right w:val="none" w:color="auto" w:sz="0" w:space="0"/>
                <w:between w:val="none" w:color="auto" w:sz="0" w:space="0"/>
              </w:pBdr>
              <w:rPr>
                <w:rFonts w:ascii="Arial" w:hAnsi="Arial" w:eastAsia="Calibri"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-Аналитика коришћења интерактивних тотема са подацима о броју корисника, периодима коришћења, садржајима који се највише прегледају, броју иницираних активација сервиса за куповину улазница</w:t>
            </w:r>
          </w:p>
          <w:p>
            <w:pPr>
              <w:spacing w:line="276" w:lineRule="auto"/>
              <w:jc w:val="both"/>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-Број задовољних туриста пруженом услугом – анкета се спроводи на интерактивним тотемима</w:t>
            </w:r>
          </w:p>
        </w:tc>
      </w:tr>
    </w:tbl>
    <w:p>
      <w:pPr>
        <w:rPr>
          <w:rFonts w:ascii="Arial" w:hAnsi="Arial" w:cs="Arial"/>
          <w:color w:val="FF0000"/>
          <w:lang w:val="sr-Latn-RS"/>
        </w:rPr>
      </w:pPr>
    </w:p>
    <w:p>
      <w:pPr>
        <w:rPr>
          <w:rFonts w:ascii="Arial" w:hAnsi="Arial" w:cs="Arial"/>
          <w:color w:val="FF0000"/>
          <w:lang w:val="sr-Latn-RS"/>
        </w:rPr>
      </w:pPr>
    </w:p>
    <w:p>
      <w:pPr>
        <w:rPr>
          <w:color w:val="FF0000"/>
          <w:lang w:val="sr-Latn-RS"/>
        </w:rPr>
        <w:sectPr>
          <w:pgSz w:w="16838" w:h="11906" w:orient="landscape"/>
          <w:pgMar w:top="1440" w:right="1440" w:bottom="1440" w:left="1440" w:header="709" w:footer="283" w:gutter="0"/>
          <w:cols w:space="708" w:num="1"/>
          <w:titlePg/>
          <w:docGrid w:linePitch="360" w:charSpace="0"/>
        </w:sectPr>
      </w:pPr>
    </w:p>
    <w:p>
      <w:pPr>
        <w:pStyle w:val="2"/>
        <w:rPr>
          <w:rFonts w:ascii="Arial" w:hAnsi="Arial" w:cs="Arial"/>
          <w:b/>
          <w:bCs w:val="0"/>
          <w:sz w:val="24"/>
          <w:szCs w:val="24"/>
          <w:lang w:val="sr-Cyrl-RS"/>
        </w:rPr>
      </w:pPr>
      <w:bookmarkStart w:id="99" w:name="_Toc157868836"/>
      <w:bookmarkStart w:id="100" w:name="_Toc159226545"/>
      <w:r>
        <w:rPr>
          <w:rFonts w:ascii="Arial" w:hAnsi="Arial" w:cs="Arial"/>
          <w:b/>
          <w:bCs w:val="0"/>
          <w:sz w:val="24"/>
          <w:szCs w:val="24"/>
          <w:lang w:val="sr-Cyrl-RS"/>
        </w:rPr>
        <w:t>13 . АКТИВНОСТИ МАРКЕТИНГА И ПРОМОЦИЈЕ</w:t>
      </w:r>
      <w:bookmarkEnd w:id="99"/>
      <w:bookmarkEnd w:id="100"/>
    </w:p>
    <w:p>
      <w:pPr>
        <w:rPr>
          <w:rFonts w:ascii="Arial" w:hAnsi="Arial" w:cs="Arial"/>
          <w:lang w:val="sr-Cyrl-RS" w:eastAsia="en-US"/>
        </w:rPr>
      </w:pPr>
    </w:p>
    <w:p>
      <w:pPr>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Оперативни маркетинг план дестинације Гаџин Хан – Сува планина презентоване у</w:t>
      </w:r>
      <w:r>
        <w:rPr>
          <w:rFonts w:ascii="Arial" w:hAnsi="Arial" w:cs="Arial"/>
          <w:lang w:val="sr-Cyrl-RS"/>
        </w:rPr>
        <w:t xml:space="preserve"> </w:t>
      </w:r>
      <w:r>
        <w:rPr>
          <w:rFonts w:ascii="Arial" w:hAnsi="Arial" w:cs="Arial"/>
          <w:b/>
          <w:bCs/>
          <w:color w:val="000000" w:themeColor="text1"/>
          <w:lang w:val="sr-Cyrl-RS" w:eastAsia="en-US"/>
          <w14:textFill>
            <w14:solidFill>
              <w14:schemeClr w14:val="tx1"/>
            </w14:solidFill>
          </w14:textFill>
        </w:rPr>
        <w:t xml:space="preserve"> посебно</w:t>
      </w:r>
      <w:r>
        <w:rPr>
          <w:rFonts w:ascii="Arial" w:hAnsi="Arial" w:cs="Arial"/>
          <w:lang w:val="sr-Cyrl-RS"/>
        </w:rPr>
        <w:t xml:space="preserve"> </w:t>
      </w:r>
      <w:r>
        <w:rPr>
          <w:rFonts w:ascii="Arial" w:hAnsi="Arial" w:cs="Arial"/>
          <w:b/>
          <w:bCs/>
          <w:color w:val="000000" w:themeColor="text1"/>
          <w:lang w:val="sr-Cyrl-RS" w:eastAsia="en-US"/>
          <w14:textFill>
            <w14:solidFill>
              <w14:schemeClr w14:val="tx1"/>
            </w14:solidFill>
          </w14:textFill>
        </w:rPr>
        <w:t xml:space="preserve"> израђеном </w:t>
      </w:r>
      <w:r>
        <w:rPr>
          <w:rFonts w:ascii="Arial" w:hAnsi="Arial" w:cs="Arial"/>
          <w:lang w:val="sr-Cyrl-RS"/>
        </w:rPr>
        <w:t xml:space="preserve"> </w:t>
      </w:r>
      <w:r>
        <w:rPr>
          <w:rFonts w:ascii="Arial" w:hAnsi="Arial" w:cs="Arial"/>
          <w:b/>
          <w:bCs/>
          <w:color w:val="000000" w:themeColor="text1"/>
          <w:lang w:val="sr-Cyrl-RS" w:eastAsia="en-US"/>
          <w14:textFill>
            <w14:solidFill>
              <w14:schemeClr w14:val="tx1"/>
            </w14:solidFill>
          </w14:textFill>
        </w:rPr>
        <w:t>документу који</w:t>
      </w:r>
      <w:r>
        <w:rPr>
          <w:rFonts w:ascii="Arial" w:hAnsi="Arial" w:cs="Arial"/>
          <w:lang w:val="sr-Cyrl-RS"/>
        </w:rPr>
        <w:t xml:space="preserve"> </w:t>
      </w:r>
      <w:r>
        <w:rPr>
          <w:rFonts w:ascii="Arial" w:hAnsi="Arial" w:cs="Arial"/>
          <w:b/>
          <w:bCs/>
          <w:color w:val="000000" w:themeColor="text1"/>
          <w:lang w:val="sr-Cyrl-RS" w:eastAsia="en-US"/>
          <w14:textFill>
            <w14:solidFill>
              <w14:schemeClr w14:val="tx1"/>
            </w14:solidFill>
          </w14:textFill>
        </w:rPr>
        <w:t xml:space="preserve"> детаљно разрађује маркетиншке активности и тактике.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Маркетинг активности и тактике овог посебног документа </w:t>
      </w:r>
      <w:r>
        <w:rPr>
          <w:rFonts w:ascii="Arial" w:hAnsi="Arial" w:cs="Arial"/>
          <w:lang w:val="sr-Cyrl-RS"/>
        </w:rPr>
        <w:t xml:space="preserve"> </w:t>
      </w:r>
      <w:r>
        <w:rPr>
          <w:rFonts w:ascii="Arial" w:hAnsi="Arial" w:cs="Arial"/>
          <w:color w:val="000000" w:themeColor="text1"/>
          <w:lang w:val="sr-Cyrl-RS" w:eastAsia="en-US"/>
          <w14:textFill>
            <w14:solidFill>
              <w14:schemeClr w14:val="tx1"/>
            </w14:solidFill>
          </w14:textFill>
        </w:rPr>
        <w:t>сврстане су у 4 категорије: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Производне тактике: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Креирање бренда дестинације Гаџин Хан</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Дефинисање производа дестинације и маркетинг активности</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Развој мреже туристичког информативног система</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Продајне тактике: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Интернет сајта дестинације Гаџин Хан</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Креирање туристичких пакета</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Едукација и усавршавање кадрова</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Комуникацијске тактике: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Односи са јавношћу – ПР</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Онлине маркетинг</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промотивног материјала Општи водич кроз Гаџин Хан</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промотивног материјала Мапа Гаџиног Хана</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Оглашавање</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Маркетинг инфраструктура: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val="sr-Cyrl-RS" w:eastAsia="en-US"/>
          <w14:textFill>
            <w14:solidFill>
              <w14:schemeClr w14:val="tx1"/>
            </w14:solidFill>
          </w14:textFill>
        </w:rPr>
        <w:tab/>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Сарадња заинтересованих страна - умрежавање</w:t>
      </w:r>
      <w:r>
        <w:rPr>
          <w:rFonts w:ascii="Arial" w:hAnsi="Arial" w:cs="Arial"/>
          <w:color w:val="000000" w:themeColor="text1"/>
          <w:lang w:val="sr-Cyrl-RS" w:eastAsia="en-US"/>
          <w14:textFill>
            <w14:solidFill>
              <w14:schemeClr w14:val="tx1"/>
            </w14:solidFill>
          </w14:textFill>
        </w:rPr>
        <w:tab/>
      </w:r>
    </w:p>
    <w:p>
      <w:pPr>
        <w:spacing w:line="276" w:lineRule="auto"/>
        <w:jc w:val="both"/>
        <w:rPr>
          <w:rFonts w:ascii="Arial" w:hAnsi="Arial" w:cs="Arial"/>
          <w:b/>
          <w:bCs/>
          <w:color w:val="000000" w:themeColor="text1"/>
          <w:lang w:val="sr-Cyrl-RS" w:eastAsia="en-US"/>
          <w14:textFill>
            <w14:solidFill>
              <w14:schemeClr w14:val="tx1"/>
            </w14:solidFill>
          </w14:textFill>
        </w:rPr>
      </w:pPr>
      <w:r>
        <w:rPr>
          <w:rFonts w:ascii="Arial" w:hAnsi="Arial" w:cs="Arial"/>
          <w:b/>
          <w:bCs/>
          <w:color w:val="000000" w:themeColor="text1"/>
          <w:lang w:val="sr-Cyrl-RS" w:eastAsia="en-US"/>
          <w14:textFill>
            <w14:solidFill>
              <w14:schemeClr w14:val="tx1"/>
            </w14:solidFill>
          </w14:textFill>
        </w:rPr>
        <w:t>Предлог маркетиншких активности и тактика кроз Ходограм:</w:t>
      </w:r>
    </w:p>
    <w:p>
      <w:pPr>
        <w:spacing w:line="276" w:lineRule="auto"/>
        <w:jc w:val="both"/>
        <w:rPr>
          <w:rFonts w:ascii="Arial" w:hAnsi="Arial" w:cs="Arial" w:eastAsiaTheme="minorHAnsi"/>
          <w:b/>
          <w:bCs/>
          <w:color w:val="000000" w:themeColor="text1"/>
          <w:lang w:val="sr-Cyrl-RS" w:eastAsia="en-US"/>
          <w14:textFill>
            <w14:solidFill>
              <w14:schemeClr w14:val="tx1"/>
            </w14:solidFill>
          </w14:textFill>
        </w:rPr>
      </w:pPr>
    </w:p>
    <w:p>
      <w:pPr>
        <w:rPr>
          <w:rFonts w:ascii="Arial" w:hAnsi="Arial" w:cs="Arial"/>
          <w:lang w:val="sr-Cyrl-RS" w:eastAsia="en-US"/>
        </w:rPr>
      </w:pPr>
      <w:r>
        <w:rPr>
          <w:rFonts w:ascii="Arial" w:hAnsi="Arial" w:cs="Arial"/>
          <w:color w:val="000000" w:themeColor="text1"/>
          <w:lang w:val="sr-Cyrl-RS"/>
          <w14:textFill>
            <w14:solidFill>
              <w14:schemeClr w14:val="tx1"/>
            </w14:solidFill>
          </w14:textFill>
        </w:rPr>
        <w:t xml:space="preserve">Табела 11. Предлог маркетиншких активности, Оперативни маркетинг план </w:t>
      </w:r>
    </w:p>
    <w:tbl>
      <w:tblPr>
        <w:tblStyle w:val="6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4999"/>
        <w:gridCol w:w="2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Назив активности</w:t>
            </w:r>
          </w:p>
        </w:tc>
        <w:tc>
          <w:tcPr>
            <w:tcW w:w="4999"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Вредност спровођења активности</w:t>
            </w:r>
          </w:p>
        </w:tc>
        <w:tc>
          <w:tcPr>
            <w:tcW w:w="2539"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Временски период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Креирање туристичких пакета </w:t>
            </w:r>
          </w:p>
        </w:tc>
        <w:tc>
          <w:tcPr>
            <w:tcW w:w="4999" w:type="dxa"/>
          </w:tcPr>
          <w:p>
            <w:pPr>
              <w:numPr>
                <w:ilvl w:val="0"/>
                <w:numId w:val="58"/>
              </w:numPr>
              <w:spacing w:line="276" w:lineRule="auto"/>
              <w:contextualSpacing/>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Организација едукација и радионица за креирање туристичких пакета </w:t>
            </w:r>
          </w:p>
          <w:p>
            <w:pPr>
              <w:numPr>
                <w:ilvl w:val="0"/>
                <w:numId w:val="58"/>
              </w:numPr>
              <w:spacing w:line="276" w:lineRule="auto"/>
              <w:contextualSpacing/>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Трајање : 2 дана по 5 часова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3 предавача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Цена : 180.000 рсд </w:t>
            </w:r>
          </w:p>
          <w:p>
            <w:pPr>
              <w:numPr>
                <w:ilvl w:val="0"/>
                <w:numId w:val="58"/>
              </w:numPr>
              <w:spacing w:line="276" w:lineRule="auto"/>
              <w:contextualSpacing/>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Анализа и израда три туристичка пакета (израда студије и паковање производа)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Цена : 240.000 рсд</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Фебруар-новембар</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Израда wеб сите </w:t>
            </w:r>
          </w:p>
        </w:tc>
        <w:tc>
          <w:tcPr>
            <w:tcW w:w="4999" w:type="dxa"/>
          </w:tcPr>
          <w:p>
            <w:pPr>
              <w:numPr>
                <w:ilvl w:val="0"/>
                <w:numId w:val="59"/>
              </w:numPr>
              <w:spacing w:line="276" w:lineRule="auto"/>
              <w:contextualSpacing/>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интернет странице са описаним перформансама од 120.000 до 360.000 рсд</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Месечно одржавање 3000 – 5000 рсд</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Јун 2024. почетак посла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Септембар 2024. завршетак посла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туристичке мапе</w:t>
            </w:r>
          </w:p>
        </w:tc>
        <w:tc>
          <w:tcPr>
            <w:tcW w:w="4999" w:type="dxa"/>
          </w:tcPr>
          <w:p>
            <w:pPr>
              <w:numPr>
                <w:ilvl w:val="0"/>
                <w:numId w:val="59"/>
              </w:numPr>
              <w:spacing w:line="276" w:lineRule="auto"/>
              <w:contextualSpacing/>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Шира дестинацијска мапа</w:t>
            </w:r>
          </w:p>
          <w:p>
            <w:pPr>
              <w:spacing w:before="100" w:beforeAutospacing="1" w:after="100" w:afterAutospacing="1"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 приказује целу и посебне делове дестинације као и објекте од посебног значаја који могу бити приказани у форми 3d цртежа или фотографија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Предлог 1: Формат мапе је A3, 42x 29.7 цм, у форми блока-цепкалице. Двострано</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Текстови о дестинацији, понуди и садржајима у широј околини. Штампа : 10.000 примерака цена штампе је око 700e са пдв-ом</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Предлог 2: Мапа формата B2 (50h70 цм), савијено 17x24 цм, са пропратним текстовима и фотографијама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hd w:val="clear" w:color="auto" w:fill="FFFFFF"/>
              <w:spacing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МАПА B2, (савијена на 17x24), 5.000 ком</w:t>
            </w:r>
          </w:p>
          <w:p>
            <w:pPr>
              <w:shd w:val="clear" w:color="auto" w:fill="FFFFFF"/>
              <w:spacing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ЦЕНА : 785 Евра</w:t>
            </w:r>
          </w:p>
          <w:p>
            <w:pPr>
              <w:shd w:val="clear" w:color="auto" w:fill="FFFFFF"/>
              <w:spacing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w:t>
            </w:r>
          </w:p>
          <w:p>
            <w:pPr>
              <w:shd w:val="clear" w:color="auto" w:fill="FFFFFF"/>
              <w:spacing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ЦЕПКАЛИЦА A3, лепљено, 10.000 ком</w:t>
            </w:r>
          </w:p>
          <w:p>
            <w:pPr>
              <w:shd w:val="clear" w:color="auto" w:fill="FFFFFF"/>
              <w:spacing w:line="276" w:lineRule="auto"/>
              <w:jc w:val="both"/>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ЦЕНА : 785 Евра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Прикупљање информација и фотографија, писање текстова, прелом текст, обрада фотографија, графички дизајн и припрема за штампу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Фебруар / Август 2024.</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Штампа: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Септембар 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Креирање “Instagram” профила </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Креирање налога на “Instagram”у 12.000 рсд једнократно</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 Откуп фотографија између 500 и 1000 рсд по фотографији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Обука запослених за основно познавање фотографисања од 12.000 до 18.000 рсд / једнократно</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Буџет за оглашавање постова на “Instagram”у од 600 до 1200 рсд по једном посту/кампањи</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Ангажовање екстерних сарадника од 12.000 до 24.000 у зависности од броја објава на месечном нивоу</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Прикупљање и сређивање фотографија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Отварање профила / април 2024.</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Постављање објава два или три пута недељно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Односи са јавношћу </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Организација едукација и радионица усавршавања запослених и представника туристичке привреде за успешно комуницирање са медијима и јавношћу са акцентом на дигиталне комуникације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2 дана по 5 часова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3 предавача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120.000 рсд плус трошкови пута, смештаја и исхране</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Март 2024.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Општи водич кроз Гаџин Хан</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Прикупљање и селекција текстова и фотографија, конципирање садржаја</w:t>
            </w:r>
            <w:r>
              <w:rPr>
                <w:rFonts w:ascii="Arial" w:hAnsi="Arial" w:cs="Arial"/>
                <w:lang w:val="sr-Cyrl-RS" w:eastAsia="en-US"/>
              </w:rPr>
              <w:t xml:space="preserve"> </w:t>
            </w:r>
            <w:r>
              <w:rPr>
                <w:rFonts w:ascii="Arial" w:hAnsi="Arial" w:cs="Arial"/>
                <w:color w:val="000000" w:themeColor="text1"/>
                <w:lang w:val="sr-Cyrl-RS" w:eastAsia="en-US"/>
                <w14:textFill>
                  <w14:solidFill>
                    <w14:schemeClr w14:val="tx1"/>
                  </w14:solidFill>
                </w14:textFill>
              </w:rPr>
              <w:t xml:space="preserve"> у складу са понудом туристичких производа и услуга.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Туристичка брошура, 32 стране књижног блока, 4 стране корица, формат A4 (21h29,7 цм), са општим и комерцијалним садржајем.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hd w:val="clear" w:color="auto" w:fill="FFFFFF"/>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 БРОСУРА B5, 32str + корице, пластификација корица, кламовано, 2.000 ком.</w:t>
            </w:r>
          </w:p>
          <w:p>
            <w:pPr>
              <w:shd w:val="clear" w:color="auto" w:fill="FFFFFF"/>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ЦЕНА : око 1.200 Евра</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Прикупљање информација и фотографија, писање текстова, прелом текст, обрада фотографија, графички дизајн и припрема за штампу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Маркетинг инфраструктура </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Истраживање домаћег туристичке тражње у Србији</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Анализа трендова, навика и ставова туриста у вези са провођењем одмора и путовањима у Србији. Наведене анализе стварају основе за сагледавање туристичке понуде дестинација у Србији, положај дестинација у односу на главне конкуренте као и оцену основних елемената туристичке дестинације.</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Вредност : 120.000 рсд</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Спровођење анкета на терену (Београд и други већи градови) као и онлине на интернету.</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Фебруар / Април 2024.</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rPr>
                <w:rFonts w:ascii="Arial" w:hAnsi="Arial" w:cs="Arial" w:eastAsiaTheme="majorEastAsia"/>
                <w:lang w:val="sr-Cyrl-RS" w:eastAsia="en-US"/>
              </w:rPr>
            </w:pPr>
            <w:bookmarkStart w:id="101" w:name="_Toc94979957"/>
            <w:bookmarkStart w:id="102" w:name="_Toc98382519"/>
            <w:r>
              <w:rPr>
                <w:rFonts w:ascii="Arial" w:hAnsi="Arial" w:cs="Arial"/>
                <w:lang w:val="sr-Cyrl-RS" w:eastAsia="en-US"/>
              </w:rPr>
              <w:t>Оглашавање на порталима, публикацијама и ТВ</w:t>
            </w:r>
            <w:bookmarkEnd w:id="101"/>
            <w:bookmarkEnd w:id="102"/>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tc>
        <w:tc>
          <w:tcPr>
            <w:tcW w:w="4999" w:type="dxa"/>
          </w:tcPr>
          <w:p>
            <w:pPr>
              <w:pStyle w:val="51"/>
              <w:numPr>
                <w:ilvl w:val="0"/>
                <w:numId w:val="59"/>
              </w:numPr>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неколико типских огласа са упечатљивим слоганом и конкретним туристичким производом који има мотивациону улогу позивања туриста да посете Гаџин Хан</w:t>
            </w:r>
          </w:p>
          <w:p>
            <w:pPr>
              <w:ind w:left="60"/>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Предвидети у буџету 200.000 рсд </w:t>
            </w:r>
          </w:p>
          <w:p>
            <w:pPr>
              <w:pStyle w:val="51"/>
              <w:numPr>
                <w:ilvl w:val="0"/>
                <w:numId w:val="59"/>
              </w:numPr>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организовање студијско путовање за представнике медија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око 100.000 рсд</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Током године континуирано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Израда сувенира Гаџиног Хана</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Флашица алуминијумска за воду са знаком Старе планине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100 комада 320.000 рсд</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eastAsia="en-US"/>
                <w14:textFill>
                  <w14:solidFill>
                    <w14:schemeClr w14:val="tx1"/>
                  </w14:solidFill>
                </w14:textFill>
              </w:rPr>
              <w:drawing>
                <wp:inline distT="0" distB="0" distL="0" distR="0">
                  <wp:extent cx="949960" cy="723265"/>
                  <wp:effectExtent l="0" t="0" r="2540" b="635"/>
                  <wp:docPr id="211" name="Picture 211" descr="A black water bottle with a c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black water bottle with a clip&#10;&#10;Description automatically generated"/>
                          <pic:cNvPicPr>
                            <a:picLocks noChangeAspect="1"/>
                          </pic:cNvPicPr>
                        </pic:nvPicPr>
                        <pic:blipFill>
                          <a:blip r:embed="rId37" cstate="email"/>
                          <a:stretch>
                            <a:fillRect/>
                          </a:stretch>
                        </pic:blipFill>
                        <pic:spPr>
                          <a:xfrm>
                            <a:off x="0" y="0"/>
                            <a:ext cx="996707" cy="758364"/>
                          </a:xfrm>
                          <a:prstGeom prst="rect">
                            <a:avLst/>
                          </a:prstGeom>
                        </pic:spPr>
                      </pic:pic>
                    </a:graphicData>
                  </a:graphic>
                </wp:inline>
              </w:drawing>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Март 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DAADB"/>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Израда сувенира Гаџиног Хана </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Ранац са знаком Око соколово</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500 комада 65.000 рсд </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eastAsia="en-US"/>
                <w14:textFill>
                  <w14:solidFill>
                    <w14:schemeClr w14:val="tx1"/>
                  </w14:solidFill>
                </w14:textFill>
              </w:rPr>
              <w:drawing>
                <wp:inline distT="0" distB="0" distL="0" distR="0">
                  <wp:extent cx="928370" cy="939165"/>
                  <wp:effectExtent l="0" t="0" r="0" b="635"/>
                  <wp:docPr id="216" name="Picture 216" descr="A yellow backpack with a grey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yellow backpack with a grey stripe&#10;&#10;Description automatically generated"/>
                          <pic:cNvPicPr>
                            <a:picLocks noChangeAspect="1"/>
                          </pic:cNvPicPr>
                        </pic:nvPicPr>
                        <pic:blipFill>
                          <a:blip r:embed="rId38" cstate="email"/>
                          <a:stretch>
                            <a:fillRect/>
                          </a:stretch>
                        </pic:blipFill>
                        <pic:spPr>
                          <a:xfrm>
                            <a:off x="0" y="0"/>
                            <a:ext cx="973467" cy="984381"/>
                          </a:xfrm>
                          <a:prstGeom prst="rect">
                            <a:avLst/>
                          </a:prstGeom>
                        </pic:spPr>
                      </pic:pic>
                    </a:graphicData>
                  </a:graphic>
                </wp:inline>
              </w:drawing>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Мај 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shd w:val="clear" w:color="auto" w:fill="8EAADB" w:themeFill="accent1" w:themeFillTint="99"/>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Израда сувенира Гаџиног Хана </w:t>
            </w:r>
          </w:p>
        </w:tc>
        <w:tc>
          <w:tcPr>
            <w:tcW w:w="499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Чај и теглица меда </w:t>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100 пакета (Теглица меда 30 г Чај 30g) 29.500 рсд</w:t>
            </w:r>
          </w:p>
        </w:tc>
        <w:tc>
          <w:tcPr>
            <w:tcW w:w="2539" w:type="dxa"/>
          </w:tcPr>
          <w:p>
            <w:pPr>
              <w:spacing w:line="276" w:lineRule="auto"/>
              <w:jc w:val="both"/>
              <w:rPr>
                <w:rFonts w:ascii="Arial" w:hAnsi="Arial" w:cs="Arial" w:eastAsiaTheme="minorHAnsi"/>
                <w:color w:val="000000" w:themeColor="text1"/>
                <w:lang w:val="sr-Cyrl-RS" w:eastAsia="en-US"/>
                <w14:textFill>
                  <w14:solidFill>
                    <w14:schemeClr w14:val="tx1"/>
                  </w14:solidFill>
                </w14:textFill>
              </w:rPr>
            </w:pPr>
            <w:r>
              <w:rPr>
                <w:rFonts w:ascii="Arial" w:hAnsi="Arial" w:cs="Arial" w:eastAsiaTheme="minorHAnsi"/>
                <w:color w:val="000000" w:themeColor="text1"/>
                <w:lang w:eastAsia="en-US"/>
                <w14:textFill>
                  <w14:solidFill>
                    <w14:schemeClr w14:val="tx1"/>
                  </w14:solidFill>
                </w14:textFill>
              </w:rPr>
              <w:drawing>
                <wp:inline distT="0" distB="0" distL="0" distR="0">
                  <wp:extent cx="803910" cy="773430"/>
                  <wp:effectExtent l="0" t="0" r="0" b="1270"/>
                  <wp:docPr id="217" name="Picture 217" descr="A jar of honey and a d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jar of honey and a dipper&#10;&#10;Description automatically generated"/>
                          <pic:cNvPicPr>
                            <a:picLocks noChangeAspect="1"/>
                          </pic:cNvPicPr>
                        </pic:nvPicPr>
                        <pic:blipFill>
                          <a:blip r:embed="rId39" cstate="email"/>
                          <a:stretch>
                            <a:fillRect/>
                          </a:stretch>
                        </pic:blipFill>
                        <pic:spPr>
                          <a:xfrm>
                            <a:off x="0" y="0"/>
                            <a:ext cx="849814" cy="817746"/>
                          </a:xfrm>
                          <a:prstGeom prst="rect">
                            <a:avLst/>
                          </a:prstGeom>
                        </pic:spPr>
                      </pic:pic>
                    </a:graphicData>
                  </a:graphic>
                </wp:inline>
              </w:drawing>
            </w:r>
          </w:p>
          <w:p>
            <w:pPr>
              <w:spacing w:line="276" w:lineRule="auto"/>
              <w:jc w:val="both"/>
              <w:rPr>
                <w:rFonts w:ascii="Arial" w:hAnsi="Arial" w:cs="Arial" w:eastAsiaTheme="minorHAnsi"/>
                <w:color w:val="000000" w:themeColor="text1"/>
                <w:lang w:val="sr-Cyrl-RS" w:eastAsia="en-US"/>
                <w14:textFill>
                  <w14:solidFill>
                    <w14:schemeClr w14:val="tx1"/>
                  </w14:solidFill>
                </w14:textFill>
              </w:rPr>
            </w:pPr>
          </w:p>
        </w:tc>
      </w:tr>
    </w:tbl>
    <w:p>
      <w:pPr>
        <w:rPr>
          <w:rFonts w:ascii="Arial" w:hAnsi="Arial" w:cs="Arial"/>
          <w:i/>
          <w:iCs/>
          <w:color w:val="000000" w:themeColor="text1"/>
          <w:lang w:val="sr-Cyrl-RS"/>
          <w14:textFill>
            <w14:solidFill>
              <w14:schemeClr w14:val="tx1"/>
            </w14:solidFill>
          </w14:textFill>
        </w:rPr>
      </w:pPr>
      <w:r>
        <w:rPr>
          <w:rFonts w:ascii="Arial" w:hAnsi="Arial" w:cs="Arial"/>
          <w:i/>
          <w:iCs/>
          <w:color w:val="000000" w:themeColor="text1"/>
          <w:lang w:val="sr-Cyrl-RS"/>
          <w14:textFill>
            <w14:solidFill>
              <w14:schemeClr w14:val="tx1"/>
            </w14:solidFill>
          </w14:textFill>
        </w:rPr>
        <w:t>Табела 10. Предлог маркетиншких активности, Оперативни маркетинг план Гаџиног Хана</w:t>
      </w:r>
    </w:p>
    <w:p>
      <w:pPr>
        <w:rPr>
          <w:rFonts w:ascii="Arial" w:hAnsi="Arial" w:cs="Arial"/>
          <w:i/>
          <w:iCs/>
          <w:color w:val="000000" w:themeColor="text1"/>
          <w:lang w:val="sr-Cyrl-RS"/>
          <w14:textFill>
            <w14:solidFill>
              <w14:schemeClr w14:val="tx1"/>
            </w14:solidFill>
          </w14:textFill>
        </w:rPr>
      </w:pPr>
      <w:r>
        <w:rPr>
          <w:rFonts w:ascii="Arial" w:hAnsi="Arial" w:cs="Arial"/>
          <w:i/>
          <w:iCs/>
          <w:color w:val="000000" w:themeColor="text1"/>
          <w:lang w:val="sr-Cyrl-RS"/>
          <w14:textFill>
            <w14:solidFill>
              <w14:schemeClr w14:val="tx1"/>
            </w14:solidFill>
          </w14:textFill>
        </w:rPr>
        <w:br w:type="page"/>
      </w:r>
    </w:p>
    <w:p>
      <w:pPr>
        <w:pStyle w:val="2"/>
        <w:rPr>
          <w:rFonts w:ascii="Arial" w:hAnsi="Arial" w:cs="Arial"/>
          <w:b/>
          <w:color w:val="000000" w:themeColor="text1"/>
          <w:sz w:val="24"/>
          <w:szCs w:val="24"/>
          <w:lang w:val="sr-Cyrl-RS"/>
          <w14:textFill>
            <w14:solidFill>
              <w14:schemeClr w14:val="tx1"/>
            </w14:solidFill>
          </w14:textFill>
        </w:rPr>
      </w:pPr>
      <w:bookmarkStart w:id="103" w:name="_Toc157868837"/>
      <w:bookmarkStart w:id="104" w:name="_Toc159226546"/>
      <w:r>
        <w:rPr>
          <w:rFonts w:ascii="Arial" w:hAnsi="Arial" w:cs="Arial"/>
          <w:b/>
          <w:color w:val="000000" w:themeColor="text1"/>
          <w:sz w:val="24"/>
          <w:szCs w:val="24"/>
          <w:lang w:val="sr-Cyrl-RS"/>
          <w14:textFill>
            <w14:solidFill>
              <w14:schemeClr w14:val="tx1"/>
            </w14:solidFill>
          </w14:textFill>
        </w:rPr>
        <w:t>14. ЗАКЉУЧНА РАЗМАТРАЊА</w:t>
      </w:r>
      <w:bookmarkEnd w:id="103"/>
      <w:bookmarkEnd w:id="104"/>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Подручје општине Гаџин Хан поседује изузетне ресурсе за развој туризма. Природне лепоте Суве планине И даље нису адекватно представљене широј јавности. Мноштво села, традиционалних сеоских газдинстава полако изумиру, а становништво нема економску корист од туризма. Програмом развоја туризма општине Гаџин Хан 2023-2027.године су дефинисане конкретне акције у правцу развоја свих елемената туристичке делатности и представљају добру подлогу за учествовање и реализацију развојних туристичких пројеката, уз суфинансирање од стране европских и других фондова.</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Како би Програма развоја туризма био успешно реализован, неопходно је поставити тим за праћење и имплементацију. У складу са тим, први задатак за реализацију документа је информисање и мотивисање свих актера у туризму дестинације да се укључе у спровођење појединачних садржаја Програма развоја. </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Други корак је оснивање Акционе групе за имплементацију Програма развоја. У Акциону групу потребно је укључити стручна лица и кључне актере у туризму, чији је задатак да прате и обавештавају јавност о актуелним пројектима и активностима, те да промовишу дестинацију на начин који је дефинисан у Програму развоја.</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Трећи корак је оснивање Дестинацијске менаџмент организације или другог тела које ће управљати туристичким простором Сува планина. </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Кључни елементи за праћење успешности реализације Програма развоја туризма дефинисани су у Акционом плану, који је саставни део овог документа. </w:t>
      </w:r>
    </w:p>
    <w:p>
      <w:pPr>
        <w:rPr>
          <w:rFonts w:ascii="Arial" w:hAnsi="Arial" w:cs="Arial"/>
          <w:i/>
          <w:iCs/>
          <w:color w:val="000000" w:themeColor="text1"/>
          <w:lang w:val="sr-Cyrl-RS"/>
          <w14:textFill>
            <w14:solidFill>
              <w14:schemeClr w14:val="tx1"/>
            </w14:solidFill>
          </w14:textFill>
        </w:rPr>
      </w:pPr>
      <w:r>
        <w:rPr>
          <w:rFonts w:ascii="Arial" w:hAnsi="Arial" w:cs="Arial"/>
          <w:i/>
          <w:iCs/>
          <w:color w:val="000000" w:themeColor="text1"/>
          <w:lang w:val="sr-Cyrl-RS"/>
          <w14:textFill>
            <w14:solidFill>
              <w14:schemeClr w14:val="tx1"/>
            </w14:solidFill>
          </w14:textFill>
        </w:rPr>
        <w:br w:type="page"/>
      </w:r>
    </w:p>
    <w:p>
      <w:pPr>
        <w:pStyle w:val="2"/>
        <w:rPr>
          <w:rFonts w:ascii="Arial" w:hAnsi="Arial" w:cs="Arial"/>
          <w:b/>
          <w:color w:val="000000" w:themeColor="text1"/>
          <w:sz w:val="24"/>
          <w:szCs w:val="24"/>
          <w:lang w:val="sr-Cyrl-RS"/>
          <w14:textFill>
            <w14:solidFill>
              <w14:schemeClr w14:val="tx1"/>
            </w14:solidFill>
          </w14:textFill>
        </w:rPr>
      </w:pPr>
      <w:bookmarkStart w:id="105" w:name="_Toc159226547"/>
      <w:r>
        <w:rPr>
          <w:rFonts w:ascii="Arial" w:hAnsi="Arial" w:cs="Arial"/>
          <w:b/>
          <w:color w:val="000000" w:themeColor="text1"/>
          <w:sz w:val="24"/>
          <w:szCs w:val="24"/>
          <w:lang w:val="sr-Cyrl-RS"/>
          <w14:textFill>
            <w14:solidFill>
              <w14:schemeClr w14:val="tx1"/>
            </w14:solidFill>
          </w14:textFill>
        </w:rPr>
        <w:t>14. ЗАКЉУЧНА РАЗМАТРАЊА</w:t>
      </w:r>
      <w:bookmarkEnd w:id="105"/>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Подручје општине Гаџин Хан поседује изузетне ресурсе за развој туризма. Природне лепоте Суве планине И даље нису адекватно представљене широј јавности. Мноштво села, традиционалних сеоских газдинстава полако изумиру, а становништво нема економску корист од туризма. Програмом развоја туризма општине Гаџин Хан 2023-2027.године су дефинисане конкретне акције у правцу развоја свих елемената туристичке делатности и представљају добру подлогу за учествовање и реализацију развојних туристичких пројеката, уз суфинансирање од стране европских и других фондова.</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Како би Програма развоја туризма био успешно реализован, неопходно је поставити тим за праћење и имплементацију. У складу са тим, први задатак за реализацију документа је информисање и мотивисање свих актера у туризму дестинације да се укључе у спровођење појединачних садржаја Програма развоја. </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Други корак је оснивање Акционе групе за имплементацију Програма развоја. У Акциону групу потребно је укључити стручна лица и кључне актере у туризму, чији је задатак да прате и обавештавају јавност о актуелним пројектима и активностима, те да промовишу дестинацију на начин који је дефинисан у Програму развоја.</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Трећи корак је оснивање Дестинацијске менаџмент организације или другог тела које ће управљати туристичким простором Сува планина. </w:t>
      </w: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p>
    <w:p>
      <w:pPr>
        <w:spacing w:after="200" w:line="276" w:lineRule="auto"/>
        <w:jc w:val="both"/>
        <w:rPr>
          <w:rFonts w:ascii="Arial" w:hAnsi="Arial" w:eastAsia="Calibri"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Кључни елементи за праћење успешности реализације Програма развоја туризма дефинисани су у Акционом плану, који је саставни део овог документа. </w:t>
      </w:r>
    </w:p>
    <w:p>
      <w:pPr>
        <w:rPr>
          <w:rFonts w:ascii="Arial" w:hAnsi="Arial" w:cs="Arial"/>
          <w:b/>
          <w:bCs/>
          <w:color w:val="000000" w:themeColor="text1"/>
          <w:lang w:val="sr-Cyrl-RS"/>
          <w14:textFill>
            <w14:solidFill>
              <w14:schemeClr w14:val="tx1"/>
            </w14:solidFill>
          </w14:textFill>
        </w:rPr>
      </w:pPr>
      <w:r>
        <w:rPr>
          <w:rFonts w:ascii="Arial" w:hAnsi="Arial" w:cs="Arial"/>
          <w:b/>
          <w:bCs/>
          <w:color w:val="000000" w:themeColor="text1"/>
          <w:lang w:val="sr-Cyrl-RS"/>
          <w14:textFill>
            <w14:solidFill>
              <w14:schemeClr w14:val="tx1"/>
            </w14:solidFill>
          </w14:textFill>
        </w:rPr>
        <w:br w:type="page"/>
      </w:r>
    </w:p>
    <w:p>
      <w:pPr>
        <w:pStyle w:val="2"/>
        <w:rPr>
          <w:rFonts w:ascii="Arial" w:hAnsi="Arial" w:cs="Arial"/>
          <w:color w:val="000000" w:themeColor="text1"/>
          <w:sz w:val="24"/>
          <w:szCs w:val="24"/>
          <w:lang w:val="sr-Cyrl-RS"/>
          <w14:textFill>
            <w14:solidFill>
              <w14:schemeClr w14:val="tx1"/>
            </w14:solidFill>
          </w14:textFill>
        </w:rPr>
      </w:pPr>
      <w:bookmarkStart w:id="106" w:name="_Toc159226548"/>
      <w:r>
        <w:rPr>
          <w:rFonts w:ascii="Arial" w:hAnsi="Arial" w:cs="Arial"/>
          <w:color w:val="000000" w:themeColor="text1"/>
          <w:sz w:val="24"/>
          <w:szCs w:val="24"/>
          <w:lang w:val="sr-Cyrl-RS"/>
          <w14:textFill>
            <w14:solidFill>
              <w14:schemeClr w14:val="tx1"/>
            </w14:solidFill>
          </w14:textFill>
        </w:rPr>
        <w:t>15. ПОПИС ТАБЕЛА, ГРАФИКОНА, СЛИКА И СКРАЋЕНИЦА</w:t>
      </w:r>
      <w:bookmarkEnd w:id="106"/>
    </w:p>
    <w:p>
      <w:pPr>
        <w:pStyle w:val="3"/>
      </w:pPr>
      <w:bookmarkStart w:id="107" w:name="_Toc159226549"/>
      <w:r>
        <w:t>Табеле</w:t>
      </w:r>
      <w:bookmarkEnd w:id="107"/>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1. Највиши планински врхови Заплања</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2. Промена броја становника 2017, Извор : РЗС, 2022</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3. Извор : РЗС, попис становника 2022.</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4, Становништво за Општину Гаџин Хан према националној припадности РЗС, Попис 2022.године</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5. Гаџин Хан, Климатске карактеристике, Хидрометеоролошки завод Р. Србије и Стратегија-одрзивог-развоја-Опстине-Гаџин-Хан-2012-2022</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6. Број путника и авиона 2014 до августа 2023. Промена у процентима у табели односи се на период од августа 2022 до августа 2023, Аеродром Констатин Велики, Нишг</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7. Туристички промет од 2018 до 2023. РСЗ</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8, Листа стејкхолдера, “VTC”</w:t>
      </w:r>
    </w:p>
    <w:p>
      <w:pPr>
        <w:rPr>
          <w:rFonts w:ascii="Arial" w:hAnsi="Arial" w:cs="Arial"/>
          <w:color w:val="000000" w:themeColor="text1"/>
          <w:lang w:val="sr-Cyrl-RS"/>
          <w14:textFill>
            <w14:solidFill>
              <w14:schemeClr w14:val="tx1"/>
            </w14:solidFill>
          </w14:textFill>
        </w:rPr>
      </w:pPr>
      <w:r>
        <w:rPr>
          <w:rFonts w:ascii="Arial" w:hAnsi="Arial" w:cs="Arial"/>
          <w:color w:val="000000" w:themeColor="text1"/>
          <w:lang w:val="sr-Cyrl-RS"/>
          <w14:textFill>
            <w14:solidFill>
              <w14:schemeClr w14:val="tx1"/>
            </w14:solidFill>
          </w14:textFill>
        </w:rPr>
        <w:t>Табела 9. Просечна стопа раста долазака и ноћења на општини Гаџин Хан</w:t>
      </w:r>
    </w:p>
    <w:p>
      <w:pPr>
        <w:rPr>
          <w:rFonts w:ascii="Arial" w:hAnsi="Arial" w:cs="Arial"/>
          <w:color w:val="000000" w:themeColor="text1"/>
          <w:lang w:val="sr-Cyrl-RS"/>
          <w14:textFill>
            <w14:solidFill>
              <w14:schemeClr w14:val="tx1"/>
            </w14:solidFill>
          </w14:textFill>
        </w:rPr>
      </w:pPr>
      <w:r>
        <w:rPr>
          <w:rFonts w:ascii="Arial" w:hAnsi="Arial" w:cs="Arial"/>
          <w:lang w:val="sr-Cyrl-RS"/>
        </w:rPr>
        <w:t>Табела 10</w:t>
      </w:r>
      <w:r>
        <w:rPr>
          <w:rFonts w:ascii="Arial" w:hAnsi="Arial" w:cs="Arial"/>
          <w:lang w:val="sr-Latn-RS"/>
        </w:rPr>
        <w:t xml:space="preserve"> </w:t>
      </w:r>
      <w:r>
        <w:rPr>
          <w:rFonts w:ascii="Arial" w:hAnsi="Arial" w:cs="Arial"/>
          <w:lang w:val="sr-Cyrl-RS"/>
        </w:rPr>
        <w:t xml:space="preserve"> </w:t>
      </w:r>
      <w:r>
        <w:rPr>
          <w:rFonts w:ascii="Arial" w:hAnsi="Arial" w:cs="Arial"/>
          <w:color w:val="000000"/>
          <w:lang w:val="sr-Cyrl-RS"/>
        </w:rPr>
        <w:t>Акциони план за спровођење Програма развоја туризма</w:t>
      </w:r>
    </w:p>
    <w:p>
      <w:pPr>
        <w:rPr>
          <w:rFonts w:ascii="Arial" w:hAnsi="Arial" w:cs="Arial"/>
          <w:lang w:val="sr-Cyrl-RS" w:eastAsia="en-US"/>
        </w:rPr>
      </w:pPr>
      <w:r>
        <w:rPr>
          <w:rFonts w:ascii="Arial" w:hAnsi="Arial" w:cs="Arial"/>
          <w:color w:val="000000" w:themeColor="text1"/>
          <w:lang w:val="sr-Cyrl-RS"/>
          <w14:textFill>
            <w14:solidFill>
              <w14:schemeClr w14:val="tx1"/>
            </w14:solidFill>
          </w14:textFill>
        </w:rPr>
        <w:t xml:space="preserve">Табела 11. Предлог маркетиншких активности, Оперативни маркетинг план </w:t>
      </w:r>
    </w:p>
    <w:p>
      <w:pPr>
        <w:pStyle w:val="3"/>
      </w:pPr>
      <w:bookmarkStart w:id="108" w:name="_Toc159226550"/>
      <w:r>
        <w:t>Слике</w:t>
      </w:r>
      <w:bookmarkEnd w:id="108"/>
    </w:p>
    <w:p>
      <w:pPr>
        <w:pStyle w:val="67"/>
        <w:rPr>
          <w:rFonts w:ascii="Arial" w:hAnsi="Arial" w:cs="Arial"/>
          <w:lang w:val="sr-Cyrl-RS"/>
        </w:rPr>
      </w:pPr>
      <w:r>
        <w:rPr>
          <w:rFonts w:ascii="Arial" w:hAnsi="Arial" w:cs="Arial"/>
          <w:lang w:val="sr-Cyrl-RS"/>
        </w:rPr>
        <w:t>Слика 1 Положај Општине Гаџин Хан, Стратегија одрживог развоја Општине Гаџин Хан</w:t>
      </w:r>
    </w:p>
    <w:p>
      <w:pPr>
        <w:pStyle w:val="67"/>
        <w:rPr>
          <w:rFonts w:ascii="Arial" w:hAnsi="Arial" w:cs="Arial"/>
          <w:lang w:val="sr-Cyrl-RS"/>
        </w:rPr>
      </w:pPr>
      <w:r>
        <w:rPr>
          <w:rFonts w:ascii="Arial" w:hAnsi="Arial" w:cs="Arial"/>
          <w:lang w:val="sr-Cyrl-RS"/>
        </w:rPr>
        <w:t>Слика 2. Географска карта Заплања Општине Гаџин Хан, Гугл мапе2</w:t>
      </w:r>
    </w:p>
    <w:p>
      <w:pPr>
        <w:pStyle w:val="67"/>
        <w:rPr>
          <w:rFonts w:ascii="Arial" w:hAnsi="Arial" w:cs="Arial"/>
          <w:lang w:val="sr-Cyrl-RS"/>
        </w:rPr>
      </w:pPr>
      <w:r>
        <w:rPr>
          <w:rFonts w:ascii="Arial" w:hAnsi="Arial" w:cs="Arial"/>
          <w:lang w:val="sr-Cyrl-RS"/>
        </w:rPr>
        <w:t>Слика 3. Сува Планина, ТО Гаџин Хан</w:t>
      </w:r>
    </w:p>
    <w:p>
      <w:pPr>
        <w:pStyle w:val="67"/>
        <w:rPr>
          <w:rFonts w:ascii="Arial" w:hAnsi="Arial" w:cs="Arial"/>
          <w:lang w:val="sr-Cyrl-RS"/>
        </w:rPr>
      </w:pPr>
      <w:r>
        <w:rPr>
          <w:rFonts w:ascii="Arial" w:hAnsi="Arial" w:cs="Arial"/>
          <w:lang w:val="sr-Cyrl-RS"/>
        </w:rPr>
        <w:t>Слика 4. Флора суве планине, ТО Гаџин Хан</w:t>
      </w:r>
    </w:p>
    <w:p>
      <w:pPr>
        <w:pStyle w:val="67"/>
        <w:rPr>
          <w:rFonts w:ascii="Arial" w:hAnsi="Arial" w:cs="Arial"/>
          <w:lang w:val="sr-Cyrl-RS"/>
        </w:rPr>
      </w:pPr>
      <w:r>
        <w:rPr>
          <w:rFonts w:ascii="Arial" w:hAnsi="Arial" w:cs="Arial"/>
          <w:lang w:val="sr-Cyrl-RS"/>
        </w:rPr>
        <w:t>Слика 5. Сури орао (лат. Aquila chrysaetos), КАС</w:t>
      </w:r>
    </w:p>
    <w:p>
      <w:pPr>
        <w:pStyle w:val="67"/>
        <w:rPr>
          <w:rFonts w:ascii="Arial" w:hAnsi="Arial" w:cs="Arial"/>
          <w:lang w:val="sr-Cyrl-RS"/>
        </w:rPr>
      </w:pPr>
      <w:r>
        <w:rPr>
          <w:rFonts w:ascii="Arial" w:hAnsi="Arial" w:cs="Arial"/>
          <w:lang w:val="sr-Cyrl-RS"/>
        </w:rPr>
        <w:t>Слика 6. Црква Вазнесења - Велики Крчимир</w:t>
      </w:r>
    </w:p>
    <w:p>
      <w:pPr>
        <w:pStyle w:val="67"/>
        <w:rPr>
          <w:rFonts w:ascii="Arial" w:hAnsi="Arial" w:cs="Arial"/>
          <w:lang w:val="sr-Cyrl-RS"/>
        </w:rPr>
      </w:pPr>
      <w:r>
        <w:rPr>
          <w:rFonts w:ascii="Arial" w:hAnsi="Arial" w:cs="Arial"/>
          <w:lang w:val="sr-Cyrl-RS"/>
        </w:rPr>
        <w:t>Слика 7. Зграда Народне библиотеке „Бранко Миљковић“ и ТО општине Гаџин Хан са салом за пројекције, представе и др. ТО Гаџин Хан</w:t>
      </w:r>
    </w:p>
    <w:p>
      <w:pPr>
        <w:pStyle w:val="67"/>
        <w:rPr>
          <w:rFonts w:ascii="Arial" w:hAnsi="Arial" w:cs="Arial"/>
          <w:lang w:val="sr-Cyrl-RS"/>
        </w:rPr>
      </w:pPr>
      <w:r>
        <w:rPr>
          <w:rFonts w:ascii="Arial" w:hAnsi="Arial" w:cs="Arial"/>
          <w:lang w:val="sr-Cyrl-RS"/>
        </w:rPr>
        <w:t>Слика 8. Заплањске воденице, ТО Гаџин Хан</w:t>
      </w:r>
    </w:p>
    <w:p>
      <w:pPr>
        <w:pStyle w:val="67"/>
        <w:rPr>
          <w:rFonts w:ascii="Arial" w:hAnsi="Arial" w:cs="Arial"/>
          <w:lang w:val="sr-Cyrl-RS"/>
        </w:rPr>
      </w:pPr>
      <w:r>
        <w:rPr>
          <w:rFonts w:ascii="Arial" w:hAnsi="Arial" w:cs="Arial"/>
          <w:lang w:val="sr-Cyrl-RS"/>
        </w:rPr>
        <w:t>Слика 9. Коридор 10 и локација Општине Гаџин Хан, Wикипедиа и ТОС Мапа Србије</w:t>
      </w:r>
    </w:p>
    <w:p>
      <w:pPr>
        <w:pStyle w:val="67"/>
        <w:rPr>
          <w:rFonts w:ascii="Arial" w:hAnsi="Arial" w:cs="Arial"/>
          <w:lang w:val="sr-Cyrl-RS"/>
        </w:rPr>
      </w:pPr>
      <w:r>
        <w:rPr>
          <w:rFonts w:ascii="Arial" w:hAnsi="Arial" w:cs="Arial"/>
          <w:lang w:val="sr-Cyrl-RS"/>
        </w:rPr>
        <w:t>Слика 10. Туристичка сигнализација Доњи душник, “VTC”</w:t>
      </w:r>
    </w:p>
    <w:p>
      <w:pPr>
        <w:pStyle w:val="67"/>
        <w:rPr>
          <w:rFonts w:ascii="Arial" w:hAnsi="Arial" w:cs="Arial"/>
          <w:lang w:val="sr-Cyrl-RS"/>
        </w:rPr>
      </w:pPr>
      <w:r>
        <w:rPr>
          <w:rFonts w:ascii="Arial" w:hAnsi="Arial" w:cs="Arial"/>
          <w:lang w:val="sr-Cyrl-RS"/>
        </w:rPr>
        <w:t>Слика 11. Врело у Горњем Душнику, “VTC”</w:t>
      </w:r>
    </w:p>
    <w:p>
      <w:pPr>
        <w:pStyle w:val="67"/>
        <w:rPr>
          <w:rFonts w:ascii="Arial" w:hAnsi="Arial" w:cs="Arial"/>
          <w:lang w:val="sr-Cyrl-RS"/>
        </w:rPr>
      </w:pPr>
      <w:r>
        <w:rPr>
          <w:rFonts w:ascii="Arial" w:hAnsi="Arial" w:cs="Arial"/>
          <w:lang w:val="sr-Cyrl-RS"/>
        </w:rPr>
        <w:t>Слика 12. Изглед и локација објекта предвиђеног за туристички информативни центар</w:t>
      </w:r>
    </w:p>
    <w:p>
      <w:pPr>
        <w:pStyle w:val="67"/>
        <w:rPr>
          <w:rFonts w:ascii="Arial" w:hAnsi="Arial" w:cs="Arial"/>
          <w:lang w:val="sr-Cyrl-RS"/>
        </w:rPr>
      </w:pPr>
      <w:r>
        <w:rPr>
          <w:rFonts w:ascii="Arial" w:hAnsi="Arial" w:cs="Arial"/>
          <w:lang w:val="sr-Cyrl-RS"/>
        </w:rPr>
        <w:t>Слика 13. Ресторан Заплањски мерак, ТО Гаџин Хан</w:t>
      </w:r>
    </w:p>
    <w:p>
      <w:pPr>
        <w:pStyle w:val="67"/>
        <w:rPr>
          <w:rFonts w:ascii="Arial" w:hAnsi="Arial" w:cs="Arial"/>
          <w:lang w:val="sr-Cyrl-RS"/>
        </w:rPr>
      </w:pPr>
      <w:r>
        <w:rPr>
          <w:rFonts w:ascii="Arial" w:hAnsi="Arial" w:cs="Arial"/>
          <w:lang w:val="sr-Cyrl-RS"/>
        </w:rPr>
        <w:t>Слика 14.  Ресторан Заплањско огњиште, ТО Гаџин Хан</w:t>
      </w:r>
    </w:p>
    <w:p>
      <w:pPr>
        <w:pStyle w:val="67"/>
        <w:rPr>
          <w:rFonts w:ascii="Arial" w:hAnsi="Arial" w:cs="Arial"/>
          <w:lang w:val="sr-Cyrl-RS"/>
        </w:rPr>
      </w:pPr>
      <w:r>
        <w:rPr>
          <w:rFonts w:ascii="Arial" w:hAnsi="Arial" w:cs="Arial"/>
          <w:lang w:val="sr-Cyrl-RS"/>
        </w:rPr>
        <w:t>Слика 15. Базен у фази сређивања испред бунгалова за одмор и ресторана</w:t>
      </w:r>
    </w:p>
    <w:p>
      <w:pPr>
        <w:pStyle w:val="67"/>
        <w:rPr>
          <w:rFonts w:ascii="Arial" w:hAnsi="Arial" w:cs="Arial"/>
          <w:b/>
          <w:bCs/>
          <w:lang w:val="sr-Cyrl-RS"/>
        </w:rPr>
      </w:pPr>
      <w:r>
        <w:rPr>
          <w:rFonts w:ascii="Arial" w:hAnsi="Arial" w:cs="Arial"/>
          <w:lang w:val="sr-Cyrl-RS"/>
        </w:rPr>
        <w:t>Слика 16. Могући изглед еко кампа,  Бизнис плана за развој кампа у општини Гаџин Хан</w:t>
      </w:r>
    </w:p>
    <w:p>
      <w:pPr>
        <w:pStyle w:val="3"/>
      </w:pPr>
      <w:bookmarkStart w:id="109" w:name="_Toc159226551"/>
      <w:r>
        <w:t>Скараћенице</w:t>
      </w:r>
      <w:bookmarkEnd w:id="109"/>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ЕУ – Европска унија</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GIZ  – </w:t>
      </w:r>
      <w:r>
        <w:rPr>
          <w:rFonts w:ascii="Arial" w:hAnsi="Arial" w:cs="Arial"/>
          <w:lang w:val="sr-Cyrl-RS" w:eastAsia="de-DE"/>
        </w:rPr>
        <w:t>Deutsche Gesellschaft für Internationale Zusammenarbeit (GIZ) GmbH</w:t>
      </w:r>
      <w:r>
        <w:rPr>
          <w:rFonts w:ascii="Arial" w:hAnsi="Arial" w:cs="Arial"/>
          <w:color w:val="000000" w:themeColor="text1"/>
          <w:lang w:val="sr-Cyrl-RS" w:eastAsia="en-US"/>
          <w14:textFill>
            <w14:solidFill>
              <w14:schemeClr w14:val="tx1"/>
            </w14:solidFill>
          </w14:textFill>
        </w:rPr>
        <w:t xml:space="preserve"> Немачка организација за међународну сарадњу</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14:textFill>
            <w14:solidFill>
              <w14:schemeClr w14:val="tx1"/>
            </w14:solidFill>
          </w14:textFill>
        </w:rPr>
        <w:t>ИБА - Important Bird and Biodiversity Area/Важна</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орнитолошка територија</w:t>
      </w:r>
      <w:r>
        <w:rPr>
          <w:rFonts w:ascii="Arial" w:hAnsi="Arial" w:cs="Arial"/>
          <w:lang w:val="sr-Cyrl-RS"/>
        </w:rPr>
        <w:t xml:space="preserve"> </w:t>
      </w:r>
      <w:r>
        <w:rPr>
          <w:rFonts w:ascii="Arial" w:hAnsi="Arial" w:cs="Arial"/>
          <w:color w:val="000000" w:themeColor="text1"/>
          <w:lang w:val="sr-Cyrl-RS"/>
          <w14:textFill>
            <w14:solidFill>
              <w14:schemeClr w14:val="tx1"/>
            </w14:solidFill>
          </w14:textFill>
        </w:rPr>
        <w:t xml:space="preserve"> и станиште биодиверзитета</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МТТТ – Министарство за трговину, туризам и телекомуникације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РАРИС - Регионална агенција за развој источне Србије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ДЦЦ – Дунавски центар за компетенцију</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КАС – Кампинг асоцијација Србије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РХМЗ РС – Републички хидрометеоролошки завод Републике Србије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“VTC” – Веселинов Туризам Консултације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shd w:val="clear" w:color="auto" w:fill="FFFFFF"/>
          <w:lang w:val="sr-Cyrl-RS" w:eastAsia="en-US"/>
          <w14:textFill>
            <w14:solidFill>
              <w14:schemeClr w14:val="tx1"/>
            </w14:solidFill>
          </w14:textFill>
        </w:rPr>
        <w:t>РЗС РС – Републички завод за статистику Републике Србије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SWОТ - </w:t>
      </w:r>
      <w:r>
        <w:rPr>
          <w:rFonts w:ascii="Arial" w:hAnsi="Arial" w:cs="Arial"/>
          <w:color w:val="000000" w:themeColor="text1"/>
          <w:lang w:val="sr-Cyrl-RS"/>
          <w14:textFill>
            <w14:solidFill>
              <w14:schemeClr w14:val="tx1"/>
            </w14:solidFill>
          </w14:textFill>
        </w:rPr>
        <w:t xml:space="preserve">Strengths, Weaknesses, Opportunities and Threats Analysis/ </w:t>
      </w:r>
      <w:r>
        <w:rPr>
          <w:rFonts w:ascii="Arial" w:hAnsi="Arial" w:cs="Arial"/>
          <w:color w:val="000000" w:themeColor="text1"/>
          <w:lang w:val="sr-Cyrl-RS" w:eastAsia="en-US"/>
          <w14:textFill>
            <w14:solidFill>
              <w14:schemeClr w14:val="tx1"/>
            </w14:solidFill>
          </w14:textFill>
        </w:rPr>
        <w:t>Анализа снага, слабости, шанси и претњи</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ТОС – Туристичка организација Србије</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UNWТО – </w:t>
      </w:r>
      <w:r>
        <w:rPr>
          <w:rFonts w:ascii="Arial" w:hAnsi="Arial" w:cs="Arial"/>
          <w:color w:val="000000" w:themeColor="text1"/>
          <w:lang w:val="sr-Cyrl-RS"/>
          <w14:textFill>
            <w14:solidFill>
              <w14:schemeClr w14:val="tx1"/>
            </w14:solidFill>
          </w14:textFill>
        </w:rPr>
        <w:t xml:space="preserve">United Nation World Tourism Organization </w:t>
      </w:r>
      <w:r>
        <w:rPr>
          <w:rFonts w:ascii="Arial" w:hAnsi="Arial" w:cs="Arial"/>
          <w:color w:val="000000" w:themeColor="text1"/>
          <w:lang w:val="sr-Cyrl-RS" w:eastAsia="en-US"/>
          <w14:textFill>
            <w14:solidFill>
              <w14:schemeClr w14:val="tx1"/>
            </w14:solidFill>
          </w14:textFill>
        </w:rPr>
        <w:t>/ Светска туристичка организација Уједињених нација</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WТТC - </w:t>
      </w:r>
      <w:r>
        <w:rPr>
          <w:rFonts w:ascii="Arial" w:hAnsi="Arial" w:cs="Arial"/>
          <w:color w:val="000000" w:themeColor="text1"/>
          <w:lang w:val="sr-Cyrl-RS"/>
          <w14:textFill>
            <w14:solidFill>
              <w14:schemeClr w14:val="tx1"/>
            </w14:solidFill>
          </w14:textFill>
        </w:rPr>
        <w:t xml:space="preserve">World Travel &amp; Tourism Council </w:t>
      </w:r>
      <w:r>
        <w:rPr>
          <w:rFonts w:ascii="Arial" w:hAnsi="Arial" w:cs="Arial"/>
          <w:color w:val="000000" w:themeColor="text1"/>
          <w:lang w:val="sr-Cyrl-RS" w:eastAsia="en-US"/>
          <w14:textFill>
            <w14:solidFill>
              <w14:schemeClr w14:val="tx1"/>
            </w14:solidFill>
          </w14:textFill>
        </w:rPr>
        <w:t>/ Светски савет за путовања и туризам</w:t>
      </w:r>
    </w:p>
    <w:p>
      <w:pPr>
        <w:shd w:val="clear" w:color="auto" w:fill="FFFFFF"/>
        <w:spacing w:line="276" w:lineRule="auto"/>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14:textFill>
            <w14:solidFill>
              <w14:schemeClr w14:val="tx1"/>
            </w14:solidFill>
          </w14:textFill>
        </w:rPr>
        <w:t>MICE – Састанци, подстицајна путовањa, конгреси и догађаји</w:t>
      </w:r>
    </w:p>
    <w:p>
      <w:pPr>
        <w:pStyle w:val="2"/>
        <w:rPr>
          <w:rFonts w:ascii="Arial" w:hAnsi="Arial" w:cs="Arial"/>
          <w:color w:val="000000" w:themeColor="text1"/>
          <w:sz w:val="24"/>
          <w:szCs w:val="24"/>
          <w:lang w:val="sr-Cyrl-RS"/>
          <w14:textFill>
            <w14:solidFill>
              <w14:schemeClr w14:val="tx1"/>
            </w14:solidFill>
          </w14:textFill>
        </w:rPr>
      </w:pPr>
      <w:bookmarkStart w:id="110" w:name="_Toc159226552"/>
      <w:r>
        <w:rPr>
          <w:rFonts w:ascii="Arial" w:hAnsi="Arial" w:cs="Arial"/>
          <w:color w:val="000000" w:themeColor="text1"/>
          <w:sz w:val="24"/>
          <w:szCs w:val="24"/>
          <w:lang w:val="sr-Cyrl-RS"/>
          <w14:textFill>
            <w14:solidFill>
              <w14:schemeClr w14:val="tx1"/>
            </w14:solidFill>
          </w14:textFill>
        </w:rPr>
        <w:t>16. ЛИТЕРАТУРА И ИЗВОРИ</w:t>
      </w:r>
      <w:bookmarkEnd w:id="110"/>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ЦБИ , </w:t>
      </w:r>
      <w:r>
        <w:fldChar w:fldCharType="begin"/>
      </w:r>
      <w:r>
        <w:instrText xml:space="preserve"> HYPERLINK "https://www.cbi.eu/" \t "_blank" </w:instrText>
      </w:r>
      <w:r>
        <w:fldChar w:fldCharType="separate"/>
      </w:r>
      <w:r>
        <w:rPr>
          <w:rFonts w:ascii="Arial" w:hAnsi="Arial" w:cs="Arial"/>
          <w:color w:val="000000" w:themeColor="text1"/>
          <w:u w:val="single"/>
          <w:lang w:val="sr-Cyrl-RS" w:eastAsia="en-US"/>
          <w14:textFill>
            <w14:solidFill>
              <w14:schemeClr w14:val="tx1"/>
            </w14:solidFill>
          </w14:textFill>
        </w:rPr>
        <w:t>https://www.cbi.eu</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Коридори Србије д.д.0. , Коридор X и ИВ, </w:t>
      </w:r>
      <w:r>
        <w:fldChar w:fldCharType="begin"/>
      </w:r>
      <w:r>
        <w:instrText xml:space="preserve"> HYPERLINK "http://koridorisrbije.rs/" \t "_blank" </w:instrText>
      </w:r>
      <w:r>
        <w:fldChar w:fldCharType="separate"/>
      </w:r>
      <w:r>
        <w:rPr>
          <w:rFonts w:ascii="Arial" w:hAnsi="Arial" w:cs="Arial"/>
          <w:color w:val="000000" w:themeColor="text1"/>
          <w:u w:val="single"/>
          <w:lang w:val="sr-Cyrl-RS" w:eastAsia="en-US"/>
          <w14:textFill>
            <w14:solidFill>
              <w14:schemeClr w14:val="tx1"/>
            </w14:solidFill>
          </w14:textFill>
        </w:rPr>
        <w:t>http://koridorisrbije.rs</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Пресек стања система регионалне мобилности и туризма Источне Србије, Дунавски центар за компетенцију, Регионална агенција за развој источне Србије РАРИС, (2017)</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РЗС РС Статистика по годинама:</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2017 </w:t>
      </w:r>
      <w:r>
        <w:fldChar w:fldCharType="begin"/>
      </w:r>
      <w:r>
        <w:instrText xml:space="preserve"> HYPERLINK "https://publikacije.stat.gov.rs/G2017/Pdf/G201713044.pdf" \t "_blank" </w:instrText>
      </w:r>
      <w:r>
        <w:fldChar w:fldCharType="separate"/>
      </w:r>
      <w:r>
        <w:rPr>
          <w:rFonts w:ascii="Arial" w:hAnsi="Arial" w:cs="Arial"/>
          <w:color w:val="000000" w:themeColor="text1"/>
          <w:u w:val="single"/>
          <w:lang w:val="sr-Cyrl-RS" w:eastAsia="en-US"/>
          <w14:textFill>
            <w14:solidFill>
              <w14:schemeClr w14:val="tx1"/>
            </w14:solidFill>
          </w14:textFill>
        </w:rPr>
        <w:t>https://publikacije.stat.gov.rs/G2017/Pdf/G201713044.pdf</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2018 </w:t>
      </w:r>
      <w:r>
        <w:fldChar w:fldCharType="begin"/>
      </w:r>
      <w:r>
        <w:instrText xml:space="preserve"> HYPERLINK "https://publikacije.stat.gov.rs/G2018/Pdf/G201813045.pdf" \t "_blank" </w:instrText>
      </w:r>
      <w:r>
        <w:fldChar w:fldCharType="separate"/>
      </w:r>
      <w:r>
        <w:rPr>
          <w:rFonts w:ascii="Arial" w:hAnsi="Arial" w:cs="Arial"/>
          <w:color w:val="000000" w:themeColor="text1"/>
          <w:u w:val="single"/>
          <w:lang w:val="sr-Cyrl-RS" w:eastAsia="en-US"/>
          <w14:textFill>
            <w14:solidFill>
              <w14:schemeClr w14:val="tx1"/>
            </w14:solidFill>
          </w14:textFill>
        </w:rPr>
        <w:t>https://publikacije.stat.gov.rs/G2018/Pdf/G201813045.pdf</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2019 </w:t>
      </w:r>
      <w:r>
        <w:fldChar w:fldCharType="begin"/>
      </w:r>
      <w:r>
        <w:instrText xml:space="preserve"> HYPERLINK "https://publikacije.stat.gov.rs/G2019/Pdf/G201913046.pdf" \t "_blank" </w:instrText>
      </w:r>
      <w:r>
        <w:fldChar w:fldCharType="separate"/>
      </w:r>
      <w:r>
        <w:rPr>
          <w:rFonts w:ascii="Arial" w:hAnsi="Arial" w:cs="Arial"/>
          <w:color w:val="000000" w:themeColor="text1"/>
          <w:u w:val="single"/>
          <w:lang w:val="sr-Cyrl-RS" w:eastAsia="en-US"/>
          <w14:textFill>
            <w14:solidFill>
              <w14:schemeClr w14:val="tx1"/>
            </w14:solidFill>
          </w14:textFill>
        </w:rPr>
        <w:t>https://publikacije.stat.gov.rs/G2019/Pdf/G201913046.pdf</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2020 </w:t>
      </w:r>
      <w:r>
        <w:fldChar w:fldCharType="begin"/>
      </w:r>
      <w:r>
        <w:instrText xml:space="preserve"> HYPERLINK "https://publikacije.stat.gov.rs/G2020/Pdf/G202013047.pdf" \t "_blank" </w:instrText>
      </w:r>
      <w:r>
        <w:fldChar w:fldCharType="separate"/>
      </w:r>
      <w:r>
        <w:rPr>
          <w:rFonts w:ascii="Arial" w:hAnsi="Arial" w:cs="Arial"/>
          <w:color w:val="000000" w:themeColor="text1"/>
          <w:u w:val="single"/>
          <w:lang w:val="sr-Cyrl-RS" w:eastAsia="en-US"/>
          <w14:textFill>
            <w14:solidFill>
              <w14:schemeClr w14:val="tx1"/>
            </w14:solidFill>
          </w14:textFill>
        </w:rPr>
        <w:t>https://publikacije.stat.gov.rs/G2020/Pdf/G202013047.pdf</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2021 </w:t>
      </w:r>
      <w:r>
        <w:fldChar w:fldCharType="begin"/>
      </w:r>
      <w:r>
        <w:instrText xml:space="preserve"> HYPERLINK "https://publikacije.stat.gov.rs/G2022/Pdf/G20221016.pdf" \t "_blank" </w:instrText>
      </w:r>
      <w:r>
        <w:fldChar w:fldCharType="separate"/>
      </w:r>
      <w:r>
        <w:rPr>
          <w:rFonts w:ascii="Arial" w:hAnsi="Arial" w:cs="Arial"/>
          <w:color w:val="000000" w:themeColor="text1"/>
          <w:u w:val="single"/>
          <w:lang w:val="sr-Cyrl-RS" w:eastAsia="en-US"/>
          <w14:textFill>
            <w14:solidFill>
              <w14:schemeClr w14:val="tx1"/>
            </w14:solidFill>
          </w14:textFill>
        </w:rPr>
        <w:t>https://publikacije.stat.gov.rs/G2022/Pdf/G20221016.pdf</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2022 </w:t>
      </w:r>
      <w:r>
        <w:fldChar w:fldCharType="begin"/>
      </w:r>
      <w:r>
        <w:instrText xml:space="preserve"> HYPERLINK "https://publikacije.stat.gov.rs/G2022/Pdf/G20221191.pd" \t "_blank" </w:instrText>
      </w:r>
      <w:r>
        <w:fldChar w:fldCharType="separate"/>
      </w:r>
      <w:r>
        <w:rPr>
          <w:rFonts w:ascii="Arial" w:hAnsi="Arial" w:cs="Arial"/>
          <w:color w:val="000000" w:themeColor="text1"/>
          <w:u w:val="single"/>
          <w:lang w:val="sr-Cyrl-RS" w:eastAsia="en-US"/>
          <w14:textFill>
            <w14:solidFill>
              <w14:schemeClr w14:val="tx1"/>
            </w14:solidFill>
          </w14:textFill>
        </w:rPr>
        <w:t>https://publikacije.stat.gov.rs/G2022/Pdf/G20221191.pd</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 xml:space="preserve">Средње и годишње температуре у Србији, РХМЗ, </w:t>
      </w:r>
      <w:r>
        <w:fldChar w:fldCharType="begin"/>
      </w:r>
      <w:r>
        <w:instrText xml:space="preserve"> HYPERLINK "https://www.srbija.gov.rs/" \t "_blank" </w:instrText>
      </w:r>
      <w:r>
        <w:fldChar w:fldCharType="separate"/>
      </w:r>
      <w:r>
        <w:rPr>
          <w:rFonts w:ascii="Arial" w:hAnsi="Arial" w:cs="Arial"/>
          <w:color w:val="000000" w:themeColor="text1"/>
          <w:u w:val="single"/>
          <w:lang w:val="sr-Cyrl-RS" w:eastAsia="en-US"/>
          <w14:textFill>
            <w14:solidFill>
              <w14:schemeClr w14:val="tx1"/>
            </w14:solidFill>
          </w14:textFill>
        </w:rPr>
        <w:t>https://www.srbija.gov.rs</w:t>
      </w:r>
      <w:r>
        <w:rPr>
          <w:rFonts w:ascii="Arial" w:hAnsi="Arial" w:cs="Arial"/>
          <w:color w:val="000000" w:themeColor="text1"/>
          <w:u w:val="single"/>
          <w:lang w:val="sr-Cyrl-RS" w:eastAsia="en-US"/>
          <w14:textFill>
            <w14:solidFill>
              <w14:schemeClr w14:val="tx1"/>
            </w14:solidFill>
          </w14:textFill>
        </w:rPr>
        <w:fldChar w:fldCharType="end"/>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Стратегија развоја туризма Републике Србије 2016-2025., MTTT, (2016)</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Стратегија развоја туризма општине Гаџин Хан за период од 2015-2020 године</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Стратегија одрживог развоја општине Гаџин Хан 2012-2022 (2011)</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Програм развоја туризма Града Ниша са акционим планом за период 2018-2020. године, октобар 2017. године</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Светски савет за путовања и туризам (WТТC), (</w:t>
      </w:r>
      <w:r>
        <w:fldChar w:fldCharType="begin"/>
      </w:r>
      <w:r>
        <w:instrText xml:space="preserve"> HYPERLINK "http://www.wttc.org/" \t "_blank" </w:instrText>
      </w:r>
      <w:r>
        <w:fldChar w:fldCharType="separate"/>
      </w:r>
      <w:r>
        <w:rPr>
          <w:rFonts w:ascii="Arial" w:hAnsi="Arial" w:cs="Arial"/>
          <w:color w:val="000000" w:themeColor="text1"/>
          <w:u w:val="single"/>
          <w:lang w:val="sr-Cyrl-RS" w:eastAsia="en-US"/>
          <w14:textFill>
            <w14:solidFill>
              <w14:schemeClr w14:val="tx1"/>
            </w14:solidFill>
          </w14:textFill>
        </w:rPr>
        <w:t>www.wttc.org</w:t>
      </w:r>
      <w:r>
        <w:rPr>
          <w:rFonts w:ascii="Arial" w:hAnsi="Arial" w:cs="Arial"/>
          <w:color w:val="000000" w:themeColor="text1"/>
          <w:u w:val="single"/>
          <w:lang w:val="sr-Cyrl-RS" w:eastAsia="en-US"/>
          <w14:textFill>
            <w14:solidFill>
              <w14:schemeClr w14:val="tx1"/>
            </w14:solidFill>
          </w14:textFill>
        </w:rPr>
        <w:fldChar w:fldCharType="end"/>
      </w:r>
      <w:r>
        <w:rPr>
          <w:rFonts w:ascii="Arial" w:hAnsi="Arial" w:cs="Arial"/>
          <w:color w:val="000000" w:themeColor="text1"/>
          <w:lang w:val="sr-Cyrl-RS" w:eastAsia="en-US"/>
          <w14:textFill>
            <w14:solidFill>
              <w14:schemeClr w14:val="tx1"/>
            </w14:solidFill>
          </w14:textFill>
        </w:rPr>
        <w:t>)</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Закон о туризму Републике Србије, (2019)</w:t>
      </w:r>
    </w:p>
    <w:p>
      <w:pPr>
        <w:numPr>
          <w:ilvl w:val="0"/>
          <w:numId w:val="60"/>
        </w:num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Заштићена подручја Србије, Јавно предузеће Србијашуме</w:t>
      </w:r>
    </w:p>
    <w:p>
      <w:p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u w:val="single"/>
          <w:lang w:val="sr-Cyrl-RS" w:eastAsia="en-US"/>
          <w14:textFill>
            <w14:solidFill>
              <w14:schemeClr w14:val="tx1"/>
            </w14:solidFill>
          </w14:textFill>
        </w:rPr>
        <w:t xml:space="preserve">Прилози: </w:t>
      </w:r>
    </w:p>
    <w:p>
      <w:pPr>
        <w:shd w:val="clear" w:color="auto" w:fill="FFFFFF"/>
        <w:spacing w:after="160" w:line="276" w:lineRule="auto"/>
        <w:contextualSpacing/>
        <w:rPr>
          <w:rFonts w:ascii="Arial" w:hAnsi="Arial" w:cs="Arial"/>
          <w:color w:val="000000" w:themeColor="text1"/>
          <w:lang w:val="sr-Cyrl-RS" w:eastAsia="en-US"/>
          <w14:textFill>
            <w14:solidFill>
              <w14:schemeClr w14:val="tx1"/>
            </w14:solidFill>
          </w14:textFill>
        </w:rPr>
      </w:pPr>
      <w:r>
        <w:rPr>
          <w:rFonts w:ascii="Arial" w:hAnsi="Arial" w:cs="Arial"/>
          <w:color w:val="000000" w:themeColor="text1"/>
          <w:lang w:val="sr-Cyrl-RS" w:eastAsia="en-US"/>
          <w14:textFill>
            <w14:solidFill>
              <w14:schemeClr w14:val="tx1"/>
            </w14:solidFill>
          </w14:textFill>
        </w:rPr>
        <w:t>Анеx I и Анеx II представљају резултате анкетирања учесника у туристичкој понуди и потражњи.</w:t>
      </w:r>
      <w:r>
        <w:rPr>
          <w:rFonts w:ascii="Arial" w:hAnsi="Arial" w:cs="Arial"/>
          <w:color w:val="000000" w:themeColor="text1"/>
          <w:lang w:val="sr-Cyrl-RS" w:eastAsia="en-US"/>
          <w14:textFill>
            <w14:solidFill>
              <w14:schemeClr w14:val="tx1"/>
            </w14:solidFill>
          </w14:textFill>
        </w:rPr>
        <w:br w:type="page"/>
      </w:r>
    </w:p>
    <w:p>
      <w:pPr>
        <w:pStyle w:val="2"/>
        <w:rPr>
          <w:rFonts w:ascii="Arial" w:hAnsi="Arial" w:cs="Arial"/>
          <w:sz w:val="24"/>
          <w:szCs w:val="24"/>
          <w:lang w:val="sr-Cyrl-RS"/>
        </w:rPr>
      </w:pPr>
    </w:p>
    <w:p>
      <w:pPr>
        <w:rPr>
          <w:lang w:val="sr-Cyrl-RS" w:eastAsia="en-US"/>
        </w:rPr>
      </w:pPr>
    </w:p>
    <w:p>
      <w:pPr>
        <w:rPr>
          <w:lang w:val="sr-Cyrl-RS" w:eastAsia="en-US"/>
        </w:rPr>
      </w:pPr>
    </w:p>
    <w:p>
      <w:pPr>
        <w:pStyle w:val="2"/>
        <w:rPr>
          <w:rFonts w:ascii="Arial" w:hAnsi="Arial" w:cs="Arial"/>
          <w:b/>
          <w:bCs w:val="0"/>
        </w:rPr>
      </w:pPr>
      <w:bookmarkStart w:id="111" w:name="_Toc157868843"/>
      <w:bookmarkStart w:id="112" w:name="_Toc159226553"/>
      <w:r>
        <w:rPr>
          <w:rFonts w:ascii="Arial" w:hAnsi="Arial" w:cs="Arial"/>
          <w:b/>
          <w:bCs w:val="0"/>
        </w:rPr>
        <w:t>17. ОБ</w:t>
      </w:r>
      <w:r>
        <w:rPr>
          <w:rFonts w:ascii="Arial" w:hAnsi="Arial" w:cs="Arial"/>
          <w:b/>
          <w:bCs w:val="0"/>
          <w:lang w:val="sr-Cyrl-RS"/>
        </w:rPr>
        <w:t>ЈА</w:t>
      </w:r>
      <w:r>
        <w:rPr>
          <w:rFonts w:ascii="Arial" w:hAnsi="Arial" w:cs="Arial"/>
          <w:b/>
          <w:bCs w:val="0"/>
        </w:rPr>
        <w:t>ВЉИВАЊЕ И СТУПАЊЕ НА СНАГУ</w:t>
      </w:r>
      <w:bookmarkEnd w:id="111"/>
      <w:bookmarkEnd w:id="112"/>
    </w:p>
    <w:p>
      <w:pPr>
        <w:rPr>
          <w:rFonts w:ascii="Arial" w:hAnsi="Arial" w:cs="Arial"/>
          <w:lang w:val="sr-Cyrl-RS"/>
        </w:rPr>
      </w:pPr>
      <w:bookmarkStart w:id="113" w:name="_Toc157868844"/>
      <w:r>
        <w:rPr>
          <w:rFonts w:ascii="Arial" w:hAnsi="Arial" w:cs="Arial"/>
          <w:lang w:val="sr-Cyrl-RS"/>
        </w:rPr>
        <w:t>Програм развоја туризма за подручје општине Гаџин Хан</w:t>
      </w:r>
      <w:bookmarkEnd w:id="113"/>
    </w:p>
    <w:p>
      <w:pPr>
        <w:rPr>
          <w:rFonts w:ascii="Arial" w:hAnsi="Arial" w:cs="Arial"/>
          <w:lang w:val="sr-Cyrl-RS"/>
        </w:rPr>
      </w:pPr>
      <w:bookmarkStart w:id="114" w:name="_Toc157868845"/>
      <w:r>
        <w:rPr>
          <w:rFonts w:ascii="Arial" w:hAnsi="Arial" w:cs="Arial"/>
          <w:lang w:val="sr-Cyrl-RS"/>
        </w:rPr>
        <w:t>период од 2023 до 2027. године ступа на снагу осмог дана од дана објављивања у....</w:t>
      </w:r>
      <w:bookmarkEnd w:id="114"/>
    </w:p>
    <w:p>
      <w:pPr>
        <w:rPr>
          <w:rFonts w:ascii="Arial" w:hAnsi="Arial" w:cs="Arial"/>
          <w:lang w:val="sr-Cyrl-RS"/>
        </w:rPr>
      </w:pPr>
    </w:p>
    <w:p>
      <w:pPr>
        <w:rPr>
          <w:rFonts w:ascii="Arial" w:hAnsi="Arial" w:cs="Arial"/>
          <w:lang w:val="sr-Cyrl-RS"/>
        </w:rPr>
      </w:pPr>
    </w:p>
    <w:p>
      <w:pPr>
        <w:rPr>
          <w:rFonts w:ascii="Arial" w:hAnsi="Arial" w:cs="Arial"/>
          <w:color w:val="000000" w:themeColor="text1"/>
          <w:lang w:val="sr-Cyrl-RS" w:eastAsia="en-US"/>
          <w14:textFill>
            <w14:solidFill>
              <w14:schemeClr w14:val="tx1"/>
            </w14:solidFill>
          </w14:textFill>
        </w:rPr>
      </w:pPr>
    </w:p>
    <w:p>
      <w:pPr>
        <w:pStyle w:val="2"/>
        <w:rPr>
          <w:rFonts w:ascii="Arial" w:hAnsi="Arial" w:cs="Arial"/>
          <w:sz w:val="24"/>
          <w:szCs w:val="24"/>
          <w:lang w:val="sr-Cyrl-RS"/>
        </w:rPr>
      </w:pPr>
      <w:bookmarkStart w:id="115" w:name="_Toc159226554"/>
      <w:r>
        <w:rPr>
          <w:rFonts w:ascii="Arial" w:hAnsi="Arial" w:cs="Arial"/>
          <w:sz w:val="24"/>
          <w:szCs w:val="24"/>
          <w:lang w:val="sr-Cyrl-RS"/>
        </w:rPr>
        <w:t>АНЕКС I: Анализа Упитника за пружаоце услуга у туризму на простору општине</w:t>
      </w:r>
      <w:bookmarkEnd w:id="115"/>
    </w:p>
    <w:p>
      <w:pPr>
        <w:jc w:val="center"/>
        <w:rPr>
          <w:rFonts w:ascii="Arial" w:hAnsi="Arial" w:cs="Arial"/>
          <w:lang w:val="sr-Cyrl-RS" w:eastAsia="en-US"/>
        </w:rPr>
      </w:pPr>
      <w:r>
        <w:rPr>
          <w:rFonts w:ascii="Arial" w:hAnsi="Arial" w:cs="Arial"/>
          <w:lang w:eastAsia="en-US"/>
        </w:rPr>
        <w:drawing>
          <wp:inline distT="0" distB="0" distL="0" distR="0">
            <wp:extent cx="5492750" cy="777240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40" cstate="email"/>
                    <a:stretch>
                      <a:fillRect/>
                    </a:stretch>
                  </pic:blipFill>
                  <pic:spPr>
                    <a:xfrm>
                      <a:off x="0" y="0"/>
                      <a:ext cx="5526482" cy="7819488"/>
                    </a:xfrm>
                    <a:prstGeom prst="rect">
                      <a:avLst/>
                    </a:prstGeom>
                  </pic:spPr>
                </pic:pic>
              </a:graphicData>
            </a:graphic>
          </wp:inline>
        </w:drawing>
      </w:r>
    </w:p>
    <w:p>
      <w:pPr>
        <w:jc w:val="center"/>
        <w:rPr>
          <w:rFonts w:ascii="Arial" w:hAnsi="Arial" w:cs="Arial"/>
          <w:lang w:val="sr-Cyrl-RS" w:eastAsia="en-US"/>
        </w:rPr>
      </w:pPr>
      <w:r>
        <w:rPr>
          <w:rFonts w:ascii="Arial" w:hAnsi="Arial" w:cs="Arial"/>
          <w:lang w:eastAsia="en-US"/>
        </w:rPr>
        <w:drawing>
          <wp:inline distT="0" distB="0" distL="0" distR="0">
            <wp:extent cx="5731510" cy="8109585"/>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41"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42"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a:blip r:embed="rId43"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44"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45"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46"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47"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a:blip r:embed="rId48"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a:blip r:embed="rId49"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a:blip r:embed="rId50"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pic:cNvPicPr>
                  </pic:nvPicPr>
                  <pic:blipFill>
                    <a:blip r:embed="rId51"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52" cstate="email"/>
                    <a:stretch>
                      <a:fillRect/>
                    </a:stretch>
                  </pic:blipFill>
                  <pic:spPr>
                    <a:xfrm>
                      <a:off x="0" y="0"/>
                      <a:ext cx="5731510" cy="8109585"/>
                    </a:xfrm>
                    <a:prstGeom prst="rect">
                      <a:avLst/>
                    </a:prstGeom>
                  </pic:spPr>
                </pic:pic>
              </a:graphicData>
            </a:graphic>
          </wp:inline>
        </w:drawing>
      </w:r>
      <w:r>
        <w:rPr>
          <w:rFonts w:ascii="Arial" w:hAnsi="Arial" w:cs="Arial"/>
          <w:lang w:eastAsia="en-US"/>
        </w:rPr>
        <w:drawing>
          <wp:inline distT="0" distB="0" distL="0" distR="0">
            <wp:extent cx="5731510" cy="8109585"/>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53" cstate="email"/>
                    <a:stretch>
                      <a:fillRect/>
                    </a:stretch>
                  </pic:blipFill>
                  <pic:spPr>
                    <a:xfrm>
                      <a:off x="0" y="0"/>
                      <a:ext cx="5731510" cy="8109585"/>
                    </a:xfrm>
                    <a:prstGeom prst="rect">
                      <a:avLst/>
                    </a:prstGeom>
                  </pic:spPr>
                </pic:pic>
              </a:graphicData>
            </a:graphic>
          </wp:inline>
        </w:drawing>
      </w:r>
    </w:p>
    <w:p>
      <w:pPr>
        <w:rPr>
          <w:rFonts w:ascii="Arial" w:hAnsi="Arial" w:cs="Arial"/>
          <w:lang w:val="sr-Cyrl-RS" w:eastAsia="en-US"/>
        </w:rPr>
      </w:pPr>
    </w:p>
    <w:p>
      <w:pPr>
        <w:pStyle w:val="2"/>
        <w:rPr>
          <w:rFonts w:ascii="Arial" w:hAnsi="Arial" w:cs="Arial"/>
          <w:sz w:val="24"/>
          <w:szCs w:val="24"/>
          <w:lang w:val="sr-Cyrl-RS"/>
        </w:rPr>
      </w:pPr>
      <w:bookmarkStart w:id="116" w:name="_Toc159226555"/>
      <w:r>
        <w:rPr>
          <w:rFonts w:ascii="Arial" w:hAnsi="Arial" w:cs="Arial"/>
          <w:sz w:val="24"/>
          <w:szCs w:val="24"/>
          <w:lang w:val="sr-Cyrl-RS"/>
        </w:rPr>
        <w:t>АНЕКС II: Анализа бренда – препознатљивости дестинације</w:t>
      </w:r>
      <w:bookmarkEnd w:id="116"/>
    </w:p>
    <w:p>
      <w:pPr>
        <w:rPr>
          <w:rFonts w:ascii="Arial" w:hAnsi="Arial" w:cs="Arial"/>
          <w:lang w:val="sr-Cyrl-RS" w:eastAsia="en-US"/>
        </w:rPr>
      </w:pPr>
      <w:r>
        <w:rPr>
          <w:rFonts w:ascii="Arial" w:hAnsi="Arial" w:cs="Arial"/>
          <w:color w:val="000000" w:themeColor="text1"/>
          <w:lang w:eastAsia="en-US"/>
          <w14:textFill>
            <w14:solidFill>
              <w14:schemeClr w14:val="tx1"/>
            </w14:solidFill>
          </w14:textFill>
        </w:rPr>
        <w:drawing>
          <wp:inline distT="0" distB="0" distL="0" distR="0">
            <wp:extent cx="5758815" cy="8148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4" cstate="email"/>
                    <a:stretch>
                      <a:fillRect/>
                    </a:stretch>
                  </pic:blipFill>
                  <pic:spPr>
                    <a:xfrm>
                      <a:off x="0" y="0"/>
                      <a:ext cx="5810710" cy="8221645"/>
                    </a:xfrm>
                    <a:prstGeom prst="rect">
                      <a:avLst/>
                    </a:prstGeom>
                  </pic:spPr>
                </pic:pic>
              </a:graphicData>
            </a:graphic>
          </wp:inline>
        </w:drawing>
      </w:r>
    </w:p>
    <w:p>
      <w:pPr>
        <w:jc w:val="center"/>
        <w:rPr>
          <w:rFonts w:ascii="Arial" w:hAnsi="Arial" w:cs="Arial"/>
          <w:color w:val="000000" w:themeColor="text1"/>
          <w:lang w:val="sr-Cyrl-RS"/>
          <w14:textFill>
            <w14:solidFill>
              <w14:schemeClr w14:val="tx1"/>
            </w14:solidFill>
          </w14:textFill>
        </w:rPr>
      </w:pPr>
      <w:r>
        <w:rPr>
          <w:rFonts w:ascii="Arial" w:hAnsi="Arial" w:cs="Arial"/>
          <w:color w:val="000000" w:themeColor="text1"/>
          <w:lang w:eastAsia="en-US"/>
          <w14:textFill>
            <w14:solidFill>
              <w14:schemeClr w14:val="tx1"/>
            </w14:solidFill>
          </w14:textFill>
        </w:rPr>
        <w:drawing>
          <wp:inline distT="0" distB="0" distL="0" distR="0">
            <wp:extent cx="5731510" cy="81095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55" cstate="email"/>
                    <a:stretch>
                      <a:fillRect/>
                    </a:stretch>
                  </pic:blipFill>
                  <pic:spPr>
                    <a:xfrm>
                      <a:off x="0" y="0"/>
                      <a:ext cx="5731510" cy="8109585"/>
                    </a:xfrm>
                    <a:prstGeom prst="rect">
                      <a:avLst/>
                    </a:prstGeom>
                  </pic:spPr>
                </pic:pic>
              </a:graphicData>
            </a:graphic>
          </wp:inline>
        </w:drawing>
      </w:r>
      <w:r>
        <w:rPr>
          <w:rFonts w:ascii="Arial" w:hAnsi="Arial" w:cs="Arial"/>
          <w:color w:val="000000" w:themeColor="text1"/>
          <w:lang w:eastAsia="en-US"/>
          <w14:textFill>
            <w14:solidFill>
              <w14:schemeClr w14:val="tx1"/>
            </w14:solidFill>
          </w14:textFill>
        </w:rPr>
        <w:drawing>
          <wp:inline distT="0" distB="0" distL="0" distR="0">
            <wp:extent cx="5731510" cy="81095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6" cstate="email"/>
                    <a:stretch>
                      <a:fillRect/>
                    </a:stretch>
                  </pic:blipFill>
                  <pic:spPr>
                    <a:xfrm>
                      <a:off x="0" y="0"/>
                      <a:ext cx="5731510" cy="8109585"/>
                    </a:xfrm>
                    <a:prstGeom prst="rect">
                      <a:avLst/>
                    </a:prstGeom>
                  </pic:spPr>
                </pic:pic>
              </a:graphicData>
            </a:graphic>
          </wp:inline>
        </w:drawing>
      </w:r>
      <w:r>
        <w:rPr>
          <w:rFonts w:ascii="Arial" w:hAnsi="Arial" w:cs="Arial"/>
          <w:color w:val="000000" w:themeColor="text1"/>
          <w:lang w:eastAsia="en-US"/>
          <w14:textFill>
            <w14:solidFill>
              <w14:schemeClr w14:val="tx1"/>
            </w14:solidFill>
          </w14:textFill>
        </w:rPr>
        <w:drawing>
          <wp:inline distT="0" distB="0" distL="0" distR="0">
            <wp:extent cx="5731510" cy="81095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57" cstate="email"/>
                    <a:stretch>
                      <a:fillRect/>
                    </a:stretch>
                  </pic:blipFill>
                  <pic:spPr>
                    <a:xfrm>
                      <a:off x="0" y="0"/>
                      <a:ext cx="5731510" cy="8109585"/>
                    </a:xfrm>
                    <a:prstGeom prst="rect">
                      <a:avLst/>
                    </a:prstGeom>
                  </pic:spPr>
                </pic:pic>
              </a:graphicData>
            </a:graphic>
          </wp:inline>
        </w:drawing>
      </w:r>
    </w:p>
    <w:p/>
    <w:sectPr>
      <w:pgSz w:w="11906" w:h="16838"/>
      <w:pgMar w:top="1440" w:right="1440" w:bottom="1440" w:left="1440" w:header="709" w:footer="283"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Avenir Book">
    <w:altName w:val="Segoe Print"/>
    <w:panose1 w:val="00000000000000000000"/>
    <w:charset w:val="00"/>
    <w:family w:val="auto"/>
    <w:pitch w:val="default"/>
    <w:sig w:usb0="00000000" w:usb1="00000000" w:usb2="00000000" w:usb3="00000000" w:csb0="0000009B"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Calibri Light">
    <w:panose1 w:val="020F0302020204030204"/>
    <w:charset w:val="00"/>
    <w:family w:val="swiss"/>
    <w:pitch w:val="default"/>
    <w:sig w:usb0="E4002EFF" w:usb1="C2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Quattrocento Sans">
    <w:altName w:val="Segoe Print"/>
    <w:panose1 w:val="00000000000000000000"/>
    <w:charset w:val="00"/>
    <w:family w:val="swiss"/>
    <w:pitch w:val="default"/>
    <w:sig w:usb0="00000000" w:usb1="00000000" w:usb2="00000000" w:usb3="00000000" w:csb0="00000001" w:csb1="00000000"/>
  </w:font>
  <w:font w:name="Noto Sans Symbols">
    <w:altName w:val="Calibri"/>
    <w:panose1 w:val="000000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ppleSystemUIFont">
    <w:altName w:val="Calibri"/>
    <w:panose1 w:val="00000000000000000000"/>
    <w:charset w:val="00"/>
    <w:family w:val="auto"/>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Gill Sans MT">
    <w:panose1 w:val="020B0502020104020203"/>
    <w:charset w:val="00"/>
    <w:family w:val="swiss"/>
    <w:pitch w:val="default"/>
    <w:sig w:usb0="00000003" w:usb1="00000000" w:usb2="00000000" w:usb3="00000000" w:csb0="20000003" w:csb1="0000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lang w:val="sr-Cyrl"/>
      </w:rPr>
      <w:fldChar w:fldCharType="begin"/>
    </w:r>
    <w:r>
      <w:rPr>
        <w:lang w:val="sr-Cyrl"/>
      </w:rPr>
      <w:instrText xml:space="preserve"> PAGE   \* MERGEFORMAT </w:instrText>
    </w:r>
    <w:r>
      <w:rPr>
        <w:lang w:val="sr-Cyrl"/>
      </w:rPr>
      <w:fldChar w:fldCharType="separate"/>
    </w:r>
    <w:r>
      <w:rPr>
        <w:lang w:val="sr-Cyrl"/>
      </w:rPr>
      <w:t>125</w:t>
    </w:r>
    <w:r>
      <w:rPr>
        <w:lang w:val="sr-Cyrl"/>
      </w:rPr>
      <w:fldChar w:fldCharType="end"/>
    </w:r>
  </w:p>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4"/>
        <w:rPr>
          <w:lang w:val="sr-Cyrl-RS"/>
        </w:rPr>
      </w:pPr>
      <w:r>
        <w:rPr>
          <w:rStyle w:val="13"/>
        </w:rPr>
        <w:footnoteRef/>
      </w:r>
      <w:r>
        <w:t xml:space="preserve"> </w:t>
      </w:r>
      <w:r>
        <w:rPr>
          <w:lang w:val="sr-Cyrl-RS"/>
        </w:rPr>
        <w:t xml:space="preserve">Аеродорм Констатин Велики, Ниш, </w:t>
      </w:r>
      <w:r>
        <w:fldChar w:fldCharType="begin"/>
      </w:r>
      <w:r>
        <w:instrText xml:space="preserve"> HYPERLINK "https://ini.aerodromisrbije.rs/statistika/" </w:instrText>
      </w:r>
      <w:r>
        <w:fldChar w:fldCharType="separate"/>
      </w:r>
      <w:r>
        <w:rPr>
          <w:rStyle w:val="17"/>
        </w:rPr>
        <w:t>https://ini.aerodromisrbije.rs/statistika/</w:t>
      </w:r>
      <w:r>
        <w:rPr>
          <w:rStyle w:val="17"/>
        </w:rPr>
        <w:fldChar w:fldCharType="end"/>
      </w:r>
      <w:r>
        <w:rPr>
          <w:lang w:val="sr-Cyrl-RS"/>
        </w:rPr>
        <w:t xml:space="preserve"> </w:t>
      </w:r>
    </w:p>
  </w:footnote>
  <w:footnote w:id="1">
    <w:p>
      <w:pPr>
        <w:rPr>
          <w:rFonts w:cs="Arial"/>
          <w:color w:val="000000" w:themeColor="text1"/>
          <w:sz w:val="18"/>
          <w:szCs w:val="18"/>
          <w:lang w:val="ru-RU"/>
          <w14:textFill>
            <w14:solidFill>
              <w14:schemeClr w14:val="tx1"/>
            </w14:solidFill>
          </w14:textFill>
        </w:rPr>
      </w:pPr>
      <w:r>
        <w:rPr>
          <w:rStyle w:val="13"/>
          <w:sz w:val="18"/>
          <w:szCs w:val="18"/>
          <w:lang w:val="sr-Cyrl"/>
        </w:rPr>
        <w:footnoteRef/>
      </w:r>
      <w:r>
        <w:rPr>
          <w:sz w:val="18"/>
          <w:szCs w:val="18"/>
          <w:lang w:val="sr-Cyrl"/>
        </w:rPr>
        <w:t xml:space="preserve"> </w:t>
      </w:r>
      <w:r>
        <w:rPr>
          <w:color w:val="000000" w:themeColor="text1"/>
          <w:sz w:val="18"/>
          <w:szCs w:val="18"/>
          <w:lang w:val="sr-Cyrl"/>
          <w14:textFill>
            <w14:solidFill>
              <w14:schemeClr w14:val="tx1"/>
            </w14:solidFill>
          </w14:textFill>
        </w:rPr>
        <w:t xml:space="preserve">Стратегија развоја туризма Републике Србије 2016-2025., Министартсво трговине, туризма и телекомуникација,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6" w:lineRule="auto"/>
      <w:rPr>
        <w:sz w:val="20"/>
        <w:szCs w:val="20"/>
        <w:lang w:val="sr-Cyrl-RS"/>
      </w:rPr>
    </w:pPr>
    <w:r>
      <w:rPr>
        <w:lang w:eastAsia="en-US"/>
      </w:rPr>
      <w:drawing>
        <wp:anchor distT="0" distB="0" distL="114300" distR="114300" simplePos="0" relativeHeight="251660288" behindDoc="1" locked="0" layoutInCell="1" allowOverlap="1">
          <wp:simplePos x="0" y="0"/>
          <wp:positionH relativeFrom="column">
            <wp:posOffset>5747385</wp:posOffset>
          </wp:positionH>
          <wp:positionV relativeFrom="paragraph">
            <wp:posOffset>-111760</wp:posOffset>
          </wp:positionV>
          <wp:extent cx="647700" cy="274955"/>
          <wp:effectExtent l="0" t="0" r="0" b="5080"/>
          <wp:wrapNone/>
          <wp:docPr id="960365043" name="Picture 960365043"/>
          <wp:cNvGraphicFramePr/>
          <a:graphic xmlns:a="http://schemas.openxmlformats.org/drawingml/2006/main">
            <a:graphicData uri="http://schemas.openxmlformats.org/drawingml/2006/picture">
              <pic:pic xmlns:pic="http://schemas.openxmlformats.org/drawingml/2006/picture">
                <pic:nvPicPr>
                  <pic:cNvPr id="960365043" name="Picture 960365043"/>
                  <pic:cNvPicPr/>
                </pic:nvPicPr>
                <pic:blipFill>
                  <a:blip r:embed="rId1">
                    <a:extLst>
                      <a:ext uri="{28A0092B-C50C-407E-A947-70E740481C1C}">
                        <a14:useLocalDpi xmlns:a14="http://schemas.microsoft.com/office/drawing/2010/main" val="0"/>
                      </a:ext>
                    </a:extLst>
                  </a:blip>
                  <a:stretch>
                    <a:fillRect/>
                  </a:stretch>
                </pic:blipFill>
                <pic:spPr>
                  <a:xfrm>
                    <a:off x="0" y="0"/>
                    <a:ext cx="647700" cy="274895"/>
                  </a:xfrm>
                  <a:prstGeom prst="rect">
                    <a:avLst/>
                  </a:prstGeom>
                  <a:noFill/>
                  <a:ln>
                    <a:noFill/>
                  </a:ln>
                </pic:spPr>
              </pic:pic>
            </a:graphicData>
          </a:graphic>
        </wp:anchor>
      </w:drawing>
    </w:r>
    <w:r>
      <w:rPr>
        <w:lang w:val="sr-Cyrl"/>
      </w:rPr>
      <w:t xml:space="preserve"> </w:t>
    </w:r>
    <w:r>
      <w:rPr>
        <w:sz w:val="20"/>
        <w:szCs w:val="20"/>
        <w:lang w:val="sr-Cyrl-RS"/>
      </w:rPr>
      <w:t>Пр</w:t>
    </w:r>
    <w:r>
      <w:rPr>
        <w:sz w:val="20"/>
        <w:szCs w:val="20"/>
        <w:lang w:val="sr-Cyrl"/>
      </w:rPr>
      <w:t xml:space="preserve">ограм  развоја туризма </w:t>
    </w:r>
    <w:r>
      <w:rPr>
        <w:sz w:val="20"/>
        <w:szCs w:val="20"/>
        <w:lang w:val="sr-Cyrl-RS"/>
      </w:rPr>
      <w:t>Г</w:t>
    </w:r>
    <w:r>
      <w:rPr>
        <w:sz w:val="20"/>
        <w:szCs w:val="20"/>
        <w:lang w:val="sr-Cyrl"/>
      </w:rPr>
      <w:t>аџин Хан и акциони план (202</w:t>
    </w:r>
    <w:r>
      <w:rPr>
        <w:sz w:val="20"/>
        <w:szCs w:val="20"/>
        <w:lang w:val="sr-Latn-RS"/>
      </w:rPr>
      <w:t>3</w:t>
    </w:r>
    <w:r>
      <w:rPr>
        <w:sz w:val="20"/>
        <w:szCs w:val="20"/>
        <w:lang w:val="sr-Cyrl"/>
      </w:rPr>
      <w:t xml:space="preserve"> – 2027)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и"/>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3"/>
    <w:multiLevelType w:val="multilevel"/>
    <w:tmpl w:val="00000003"/>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B"/>
    <w:multiLevelType w:val="multilevel"/>
    <w:tmpl w:val="0000000B"/>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C"/>
    <w:multiLevelType w:val="multilevel"/>
    <w:tmpl w:val="0000000C"/>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0E"/>
    <w:multiLevelType w:val="multilevel"/>
    <w:tmpl w:val="0000000E"/>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0F"/>
    <w:multiLevelType w:val="multilevel"/>
    <w:tmpl w:val="0000000F"/>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10"/>
    <w:multiLevelType w:val="multilevel"/>
    <w:tmpl w:val="00000010"/>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11"/>
    <w:multiLevelType w:val="multilevel"/>
    <w:tmpl w:val="00000011"/>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12"/>
    <w:multiLevelType w:val="multilevel"/>
    <w:tmpl w:val="00000012"/>
    <w:lvl w:ilvl="0" w:tentative="0">
      <w:start w:val="4"/>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15"/>
    <w:multiLevelType w:val="multilevel"/>
    <w:tmpl w:val="00000015"/>
    <w:lvl w:ilvl="0" w:tentative="0">
      <w:start w:val="6"/>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16"/>
    <w:multiLevelType w:val="multilevel"/>
    <w:tmpl w:val="00000016"/>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18"/>
    <w:multiLevelType w:val="multilevel"/>
    <w:tmpl w:val="00000018"/>
    <w:lvl w:ilvl="0" w:tentative="0">
      <w:start w:val="1"/>
      <w:numFmt w:val="bullet"/>
      <w:lvlText w:val="С"/>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1A"/>
    <w:multiLevelType w:val="multilevel"/>
    <w:tmpl w:val="0000001A"/>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1E"/>
    <w:multiLevelType w:val="multilevel"/>
    <w:tmpl w:val="0000001E"/>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21"/>
    <w:multiLevelType w:val="multilevel"/>
    <w:tmpl w:val="00000021"/>
    <w:lvl w:ilvl="0" w:tentative="0">
      <w:start w:val="1"/>
      <w:numFmt w:val="bullet"/>
      <w:lvlText w:val="У"/>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00000023"/>
    <w:multiLevelType w:val="multilevel"/>
    <w:tmpl w:val="00000023"/>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7">
    <w:nsid w:val="00000024"/>
    <w:multiLevelType w:val="multilevel"/>
    <w:tmpl w:val="00000024"/>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8">
    <w:nsid w:val="00000027"/>
    <w:multiLevelType w:val="multilevel"/>
    <w:tmpl w:val="00000027"/>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9">
    <w:nsid w:val="00000028"/>
    <w:multiLevelType w:val="multilevel"/>
    <w:tmpl w:val="00000028"/>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0">
    <w:nsid w:val="00000057"/>
    <w:multiLevelType w:val="multilevel"/>
    <w:tmpl w:val="00000057"/>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1">
    <w:nsid w:val="00000058"/>
    <w:multiLevelType w:val="multilevel"/>
    <w:tmpl w:val="00000058"/>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2">
    <w:nsid w:val="00000059"/>
    <w:multiLevelType w:val="multilevel"/>
    <w:tmpl w:val="00000059"/>
    <w:lvl w:ilvl="0" w:tentative="0">
      <w:start w:val="1"/>
      <w:numFmt w:val="bullet"/>
      <w:lvlText w:val="С"/>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3">
    <w:nsid w:val="0000005B"/>
    <w:multiLevelType w:val="multilevel"/>
    <w:tmpl w:val="0000005B"/>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4">
    <w:nsid w:val="0000005C"/>
    <w:multiLevelType w:val="multilevel"/>
    <w:tmpl w:val="0000005C"/>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5">
    <w:nsid w:val="0000005D"/>
    <w:multiLevelType w:val="multilevel"/>
    <w:tmpl w:val="0000005D"/>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6">
    <w:nsid w:val="0000005E"/>
    <w:multiLevelType w:val="multilevel"/>
    <w:tmpl w:val="0000005E"/>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7">
    <w:nsid w:val="01FF34C5"/>
    <w:multiLevelType w:val="multilevel"/>
    <w:tmpl w:val="01FF34C5"/>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8">
    <w:nsid w:val="03C425B1"/>
    <w:multiLevelType w:val="multilevel"/>
    <w:tmpl w:val="03C425B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9">
    <w:nsid w:val="0D2209C0"/>
    <w:multiLevelType w:val="multilevel"/>
    <w:tmpl w:val="0D2209C0"/>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21C773A"/>
    <w:multiLevelType w:val="multilevel"/>
    <w:tmpl w:val="121C773A"/>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12807D9E"/>
    <w:multiLevelType w:val="multilevel"/>
    <w:tmpl w:val="12807D9E"/>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2">
    <w:nsid w:val="14500639"/>
    <w:multiLevelType w:val="multilevel"/>
    <w:tmpl w:val="1450063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3">
    <w:nsid w:val="158F3C7B"/>
    <w:multiLevelType w:val="multilevel"/>
    <w:tmpl w:val="158F3C7B"/>
    <w:lvl w:ilvl="0" w:tentative="0">
      <w:start w:val="1"/>
      <w:numFmt w:val="bullet"/>
      <w:pStyle w:val="58"/>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34">
    <w:nsid w:val="18411891"/>
    <w:multiLevelType w:val="multilevel"/>
    <w:tmpl w:val="1841189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18AC42B1"/>
    <w:multiLevelType w:val="multilevel"/>
    <w:tmpl w:val="18AC42B1"/>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18BF02B9"/>
    <w:multiLevelType w:val="multilevel"/>
    <w:tmpl w:val="18BF02B9"/>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198E0E23"/>
    <w:multiLevelType w:val="multilevel"/>
    <w:tmpl w:val="198E0E2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1EBE1B1F"/>
    <w:multiLevelType w:val="multilevel"/>
    <w:tmpl w:val="1EBE1B1F"/>
    <w:lvl w:ilvl="0" w:tentative="0">
      <w:start w:val="0"/>
      <w:numFmt w:val="bullet"/>
      <w:lvlText w:val="-"/>
      <w:lvlJc w:val="left"/>
      <w:pPr>
        <w:ind w:left="720" w:hanging="360"/>
      </w:pPr>
      <w:rPr>
        <w:rFonts w:hint="default" w:ascii="Arial" w:hAnsi="Arial" w:eastAsia="Calibri"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425689D"/>
    <w:multiLevelType w:val="multilevel"/>
    <w:tmpl w:val="2425689D"/>
    <w:lvl w:ilvl="0" w:tentative="0">
      <w:start w:val="48"/>
      <w:numFmt w:val="bullet"/>
      <w:lvlText w:val="-"/>
      <w:lvlJc w:val="left"/>
      <w:pPr>
        <w:ind w:left="420" w:hanging="360"/>
      </w:pPr>
      <w:rPr>
        <w:rFonts w:hint="default" w:ascii="Arial" w:hAnsi="Arial" w:cs="Arial" w:eastAsiaTheme="minorHAnsi"/>
      </w:rPr>
    </w:lvl>
    <w:lvl w:ilvl="1" w:tentative="0">
      <w:start w:val="1"/>
      <w:numFmt w:val="bullet"/>
      <w:lvlText w:val="o"/>
      <w:lvlJc w:val="left"/>
      <w:pPr>
        <w:ind w:left="1140" w:hanging="360"/>
      </w:pPr>
      <w:rPr>
        <w:rFonts w:hint="default" w:ascii="Courier New" w:hAnsi="Courier New" w:cs="Courier New"/>
      </w:rPr>
    </w:lvl>
    <w:lvl w:ilvl="2" w:tentative="0">
      <w:start w:val="1"/>
      <w:numFmt w:val="bullet"/>
      <w:lvlText w:val=""/>
      <w:lvlJc w:val="left"/>
      <w:pPr>
        <w:ind w:left="1860" w:hanging="360"/>
      </w:pPr>
      <w:rPr>
        <w:rFonts w:hint="default" w:ascii="Wingdings" w:hAnsi="Wingdings"/>
      </w:rPr>
    </w:lvl>
    <w:lvl w:ilvl="3" w:tentative="0">
      <w:start w:val="1"/>
      <w:numFmt w:val="bullet"/>
      <w:lvlText w:val=""/>
      <w:lvlJc w:val="left"/>
      <w:pPr>
        <w:ind w:left="2580" w:hanging="360"/>
      </w:pPr>
      <w:rPr>
        <w:rFonts w:hint="default" w:ascii="Symbol" w:hAnsi="Symbol"/>
      </w:rPr>
    </w:lvl>
    <w:lvl w:ilvl="4" w:tentative="0">
      <w:start w:val="1"/>
      <w:numFmt w:val="bullet"/>
      <w:lvlText w:val="o"/>
      <w:lvlJc w:val="left"/>
      <w:pPr>
        <w:ind w:left="3300" w:hanging="360"/>
      </w:pPr>
      <w:rPr>
        <w:rFonts w:hint="default" w:ascii="Courier New" w:hAnsi="Courier New" w:cs="Courier New"/>
      </w:rPr>
    </w:lvl>
    <w:lvl w:ilvl="5" w:tentative="0">
      <w:start w:val="1"/>
      <w:numFmt w:val="bullet"/>
      <w:lvlText w:val=""/>
      <w:lvlJc w:val="left"/>
      <w:pPr>
        <w:ind w:left="4020" w:hanging="360"/>
      </w:pPr>
      <w:rPr>
        <w:rFonts w:hint="default" w:ascii="Wingdings" w:hAnsi="Wingdings"/>
      </w:rPr>
    </w:lvl>
    <w:lvl w:ilvl="6" w:tentative="0">
      <w:start w:val="1"/>
      <w:numFmt w:val="bullet"/>
      <w:lvlText w:val=""/>
      <w:lvlJc w:val="left"/>
      <w:pPr>
        <w:ind w:left="4740" w:hanging="360"/>
      </w:pPr>
      <w:rPr>
        <w:rFonts w:hint="default" w:ascii="Symbol" w:hAnsi="Symbol"/>
      </w:rPr>
    </w:lvl>
    <w:lvl w:ilvl="7" w:tentative="0">
      <w:start w:val="1"/>
      <w:numFmt w:val="bullet"/>
      <w:lvlText w:val="o"/>
      <w:lvlJc w:val="left"/>
      <w:pPr>
        <w:ind w:left="5460" w:hanging="360"/>
      </w:pPr>
      <w:rPr>
        <w:rFonts w:hint="default" w:ascii="Courier New" w:hAnsi="Courier New" w:cs="Courier New"/>
      </w:rPr>
    </w:lvl>
    <w:lvl w:ilvl="8" w:tentative="0">
      <w:start w:val="1"/>
      <w:numFmt w:val="bullet"/>
      <w:lvlText w:val=""/>
      <w:lvlJc w:val="left"/>
      <w:pPr>
        <w:ind w:left="6180" w:hanging="360"/>
      </w:pPr>
      <w:rPr>
        <w:rFonts w:hint="default" w:ascii="Wingdings" w:hAnsi="Wingdings"/>
      </w:rPr>
    </w:lvl>
  </w:abstractNum>
  <w:abstractNum w:abstractNumId="40">
    <w:nsid w:val="277435B7"/>
    <w:multiLevelType w:val="multilevel"/>
    <w:tmpl w:val="277435B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1">
    <w:nsid w:val="2B92282E"/>
    <w:multiLevelType w:val="multilevel"/>
    <w:tmpl w:val="2B92282E"/>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2D2D4C3E"/>
    <w:multiLevelType w:val="multilevel"/>
    <w:tmpl w:val="2D2D4C3E"/>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3">
    <w:nsid w:val="2E0F3DCB"/>
    <w:multiLevelType w:val="multilevel"/>
    <w:tmpl w:val="2E0F3DCB"/>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2E5237D9"/>
    <w:multiLevelType w:val="multilevel"/>
    <w:tmpl w:val="2E5237D9"/>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5">
    <w:nsid w:val="2F866427"/>
    <w:multiLevelType w:val="multilevel"/>
    <w:tmpl w:val="2F866427"/>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6">
    <w:nsid w:val="3B747EAF"/>
    <w:multiLevelType w:val="multilevel"/>
    <w:tmpl w:val="3B747EAF"/>
    <w:lvl w:ilvl="0" w:tentative="0">
      <w:start w:val="1"/>
      <w:numFmt w:val="decimal"/>
      <w:lvlText w:val="%1"/>
      <w:lvlJc w:val="left"/>
      <w:pPr>
        <w:ind w:left="360" w:hanging="360"/>
      </w:pPr>
      <w:rPr>
        <w:rFonts w:hint="default" w:ascii="Arial" w:hAnsi="Arial" w:cs="Arial"/>
        <w:color w:val="000000" w:themeColor="text1"/>
        <w14:textFill>
          <w14:solidFill>
            <w14:schemeClr w14:val="tx1"/>
          </w14:solidFill>
        </w14:textFill>
      </w:rPr>
    </w:lvl>
    <w:lvl w:ilvl="1" w:tentative="0">
      <w:start w:val="2"/>
      <w:numFmt w:val="decimal"/>
      <w:lvlText w:val="%1-%2"/>
      <w:lvlJc w:val="left"/>
      <w:pPr>
        <w:ind w:left="360" w:hanging="360"/>
      </w:pPr>
      <w:rPr>
        <w:rFonts w:hint="default" w:ascii="Arial" w:hAnsi="Arial" w:cs="Arial"/>
        <w:color w:val="000000" w:themeColor="text1"/>
        <w14:textFill>
          <w14:solidFill>
            <w14:schemeClr w14:val="tx1"/>
          </w14:solidFill>
        </w14:textFill>
      </w:rPr>
    </w:lvl>
    <w:lvl w:ilvl="2" w:tentative="0">
      <w:start w:val="1"/>
      <w:numFmt w:val="decimal"/>
      <w:lvlText w:val="%1-%2.%3"/>
      <w:lvlJc w:val="left"/>
      <w:pPr>
        <w:ind w:left="720" w:hanging="720"/>
      </w:pPr>
      <w:rPr>
        <w:rFonts w:hint="default" w:ascii="Arial" w:hAnsi="Arial" w:cs="Arial"/>
        <w:color w:val="000000" w:themeColor="text1"/>
        <w14:textFill>
          <w14:solidFill>
            <w14:schemeClr w14:val="tx1"/>
          </w14:solidFill>
        </w14:textFill>
      </w:rPr>
    </w:lvl>
    <w:lvl w:ilvl="3" w:tentative="0">
      <w:start w:val="1"/>
      <w:numFmt w:val="decimal"/>
      <w:lvlText w:val="%1-%2.%3.%4"/>
      <w:lvlJc w:val="left"/>
      <w:pPr>
        <w:ind w:left="1080" w:hanging="1080"/>
      </w:pPr>
      <w:rPr>
        <w:rFonts w:hint="default" w:ascii="Arial" w:hAnsi="Arial" w:cs="Arial"/>
        <w:color w:val="000000" w:themeColor="text1"/>
        <w14:textFill>
          <w14:solidFill>
            <w14:schemeClr w14:val="tx1"/>
          </w14:solidFill>
        </w14:textFill>
      </w:rPr>
    </w:lvl>
    <w:lvl w:ilvl="4" w:tentative="0">
      <w:start w:val="1"/>
      <w:numFmt w:val="decimal"/>
      <w:lvlText w:val="%1-%2.%3.%4.%5"/>
      <w:lvlJc w:val="left"/>
      <w:pPr>
        <w:ind w:left="1080" w:hanging="1080"/>
      </w:pPr>
      <w:rPr>
        <w:rFonts w:hint="default" w:ascii="Arial" w:hAnsi="Arial" w:cs="Arial"/>
        <w:color w:val="000000" w:themeColor="text1"/>
        <w14:textFill>
          <w14:solidFill>
            <w14:schemeClr w14:val="tx1"/>
          </w14:solidFill>
        </w14:textFill>
      </w:rPr>
    </w:lvl>
    <w:lvl w:ilvl="5" w:tentative="0">
      <w:start w:val="1"/>
      <w:numFmt w:val="decimal"/>
      <w:lvlText w:val="%1-%2.%3.%4.%5.%6"/>
      <w:lvlJc w:val="left"/>
      <w:pPr>
        <w:ind w:left="1440" w:hanging="1440"/>
      </w:pPr>
      <w:rPr>
        <w:rFonts w:hint="default" w:ascii="Arial" w:hAnsi="Arial" w:cs="Arial"/>
        <w:color w:val="000000" w:themeColor="text1"/>
        <w14:textFill>
          <w14:solidFill>
            <w14:schemeClr w14:val="tx1"/>
          </w14:solidFill>
        </w14:textFill>
      </w:rPr>
    </w:lvl>
    <w:lvl w:ilvl="6" w:tentative="0">
      <w:start w:val="1"/>
      <w:numFmt w:val="decimal"/>
      <w:lvlText w:val="%1-%2.%3.%4.%5.%6.%7"/>
      <w:lvlJc w:val="left"/>
      <w:pPr>
        <w:ind w:left="1440" w:hanging="1440"/>
      </w:pPr>
      <w:rPr>
        <w:rFonts w:hint="default" w:ascii="Arial" w:hAnsi="Arial" w:cs="Arial"/>
        <w:color w:val="000000" w:themeColor="text1"/>
        <w14:textFill>
          <w14:solidFill>
            <w14:schemeClr w14:val="tx1"/>
          </w14:solidFill>
        </w14:textFill>
      </w:rPr>
    </w:lvl>
    <w:lvl w:ilvl="7" w:tentative="0">
      <w:start w:val="1"/>
      <w:numFmt w:val="decimal"/>
      <w:lvlText w:val="%1-%2.%3.%4.%5.%6.%7.%8"/>
      <w:lvlJc w:val="left"/>
      <w:pPr>
        <w:ind w:left="1800" w:hanging="1800"/>
      </w:pPr>
      <w:rPr>
        <w:rFonts w:hint="default" w:ascii="Arial" w:hAnsi="Arial" w:cs="Arial"/>
        <w:color w:val="000000" w:themeColor="text1"/>
        <w14:textFill>
          <w14:solidFill>
            <w14:schemeClr w14:val="tx1"/>
          </w14:solidFill>
        </w14:textFill>
      </w:rPr>
    </w:lvl>
    <w:lvl w:ilvl="8" w:tentative="0">
      <w:start w:val="1"/>
      <w:numFmt w:val="decimal"/>
      <w:lvlText w:val="%1-%2.%3.%4.%5.%6.%7.%8.%9"/>
      <w:lvlJc w:val="left"/>
      <w:pPr>
        <w:ind w:left="1800" w:hanging="1800"/>
      </w:pPr>
      <w:rPr>
        <w:rFonts w:hint="default" w:ascii="Arial" w:hAnsi="Arial" w:cs="Arial"/>
        <w:color w:val="000000" w:themeColor="text1"/>
        <w14:textFill>
          <w14:solidFill>
            <w14:schemeClr w14:val="tx1"/>
          </w14:solidFill>
        </w14:textFill>
      </w:rPr>
    </w:lvl>
  </w:abstractNum>
  <w:abstractNum w:abstractNumId="47">
    <w:nsid w:val="3F333EE5"/>
    <w:multiLevelType w:val="multilevel"/>
    <w:tmpl w:val="3F333EE5"/>
    <w:lvl w:ilvl="0" w:tentative="0">
      <w:start w:val="1"/>
      <w:numFmt w:val="decimal"/>
      <w:lvlText w:val="%1"/>
      <w:lvlJc w:val="left"/>
      <w:pPr>
        <w:ind w:left="375" w:hanging="375"/>
      </w:pPr>
      <w:rPr>
        <w:rFonts w:hint="default"/>
        <w:color w:val="203864" w:themeColor="accent1" w:themeShade="80"/>
      </w:rPr>
    </w:lvl>
    <w:lvl w:ilvl="1" w:tentative="0">
      <w:start w:val="1"/>
      <w:numFmt w:val="decimal"/>
      <w:lvlText w:val="%1.%2"/>
      <w:lvlJc w:val="left"/>
      <w:pPr>
        <w:ind w:left="420" w:hanging="375"/>
      </w:pPr>
      <w:rPr>
        <w:rFonts w:hint="default"/>
        <w:color w:val="203864" w:themeColor="accent1" w:themeShade="80"/>
      </w:rPr>
    </w:lvl>
    <w:lvl w:ilvl="2" w:tentative="0">
      <w:start w:val="1"/>
      <w:numFmt w:val="decimal"/>
      <w:lvlText w:val="%1.%2.%3"/>
      <w:lvlJc w:val="left"/>
      <w:pPr>
        <w:ind w:left="810" w:hanging="720"/>
      </w:pPr>
      <w:rPr>
        <w:rFonts w:hint="default"/>
        <w:color w:val="203864" w:themeColor="accent1" w:themeShade="80"/>
      </w:rPr>
    </w:lvl>
    <w:lvl w:ilvl="3" w:tentative="0">
      <w:start w:val="1"/>
      <w:numFmt w:val="decimal"/>
      <w:lvlText w:val="%1.%2.%3.%4"/>
      <w:lvlJc w:val="left"/>
      <w:pPr>
        <w:ind w:left="855" w:hanging="720"/>
      </w:pPr>
      <w:rPr>
        <w:rFonts w:hint="default"/>
        <w:color w:val="203864" w:themeColor="accent1" w:themeShade="80"/>
      </w:rPr>
    </w:lvl>
    <w:lvl w:ilvl="4" w:tentative="0">
      <w:start w:val="1"/>
      <w:numFmt w:val="decimal"/>
      <w:lvlText w:val="%1.%2.%3.%4.%5"/>
      <w:lvlJc w:val="left"/>
      <w:pPr>
        <w:ind w:left="1260" w:hanging="1080"/>
      </w:pPr>
      <w:rPr>
        <w:rFonts w:hint="default"/>
        <w:color w:val="203864" w:themeColor="accent1" w:themeShade="80"/>
      </w:rPr>
    </w:lvl>
    <w:lvl w:ilvl="5" w:tentative="0">
      <w:start w:val="1"/>
      <w:numFmt w:val="decimal"/>
      <w:lvlText w:val="%1.%2.%3.%4.%5.%6"/>
      <w:lvlJc w:val="left"/>
      <w:pPr>
        <w:ind w:left="1305" w:hanging="1080"/>
      </w:pPr>
      <w:rPr>
        <w:rFonts w:hint="default"/>
        <w:color w:val="203864" w:themeColor="accent1" w:themeShade="80"/>
      </w:rPr>
    </w:lvl>
    <w:lvl w:ilvl="6" w:tentative="0">
      <w:start w:val="1"/>
      <w:numFmt w:val="decimal"/>
      <w:lvlText w:val="%1.%2.%3.%4.%5.%6.%7"/>
      <w:lvlJc w:val="left"/>
      <w:pPr>
        <w:ind w:left="1710" w:hanging="1440"/>
      </w:pPr>
      <w:rPr>
        <w:rFonts w:hint="default"/>
        <w:color w:val="203864" w:themeColor="accent1" w:themeShade="80"/>
      </w:rPr>
    </w:lvl>
    <w:lvl w:ilvl="7" w:tentative="0">
      <w:start w:val="1"/>
      <w:numFmt w:val="decimal"/>
      <w:lvlText w:val="%1.%2.%3.%4.%5.%6.%7.%8"/>
      <w:lvlJc w:val="left"/>
      <w:pPr>
        <w:ind w:left="1755" w:hanging="1440"/>
      </w:pPr>
      <w:rPr>
        <w:rFonts w:hint="default"/>
        <w:color w:val="203864" w:themeColor="accent1" w:themeShade="80"/>
      </w:rPr>
    </w:lvl>
    <w:lvl w:ilvl="8" w:tentative="0">
      <w:start w:val="1"/>
      <w:numFmt w:val="decimal"/>
      <w:lvlText w:val="%1.%2.%3.%4.%5.%6.%7.%8.%9"/>
      <w:lvlJc w:val="left"/>
      <w:pPr>
        <w:ind w:left="1800" w:hanging="1440"/>
      </w:pPr>
      <w:rPr>
        <w:rFonts w:hint="default"/>
        <w:color w:val="203864" w:themeColor="accent1" w:themeShade="80"/>
      </w:rPr>
    </w:lvl>
  </w:abstractNum>
  <w:abstractNum w:abstractNumId="48">
    <w:nsid w:val="3F6E12BD"/>
    <w:multiLevelType w:val="multilevel"/>
    <w:tmpl w:val="3F6E12BD"/>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4413556F"/>
    <w:multiLevelType w:val="multilevel"/>
    <w:tmpl w:val="4413556F"/>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0">
    <w:nsid w:val="45367C87"/>
    <w:multiLevelType w:val="multilevel"/>
    <w:tmpl w:val="45367C87"/>
    <w:lvl w:ilvl="0" w:tentative="0">
      <w:start w:val="1"/>
      <w:numFmt w:val="bullet"/>
      <w:pStyle w:val="61"/>
      <w:lvlText w:val=""/>
      <w:lvlJc w:val="left"/>
      <w:pPr>
        <w:ind w:left="720" w:hanging="360"/>
      </w:pPr>
      <w:rPr>
        <w:rFonts w:hint="default" w:ascii="Symbol" w:hAnsi="Symbol"/>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1">
    <w:nsid w:val="4BD16265"/>
    <w:multiLevelType w:val="multilevel"/>
    <w:tmpl w:val="4BD16265"/>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4D311203"/>
    <w:multiLevelType w:val="multilevel"/>
    <w:tmpl w:val="4D311203"/>
    <w:lvl w:ilvl="0" w:tentative="0">
      <w:start w:val="2"/>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3">
    <w:nsid w:val="5AEC500B"/>
    <w:multiLevelType w:val="multilevel"/>
    <w:tmpl w:val="5AEC500B"/>
    <w:lvl w:ilvl="0" w:tentative="0">
      <w:start w:val="6"/>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B201815"/>
    <w:multiLevelType w:val="multilevel"/>
    <w:tmpl w:val="5B201815"/>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0CD5D98"/>
    <w:multiLevelType w:val="multilevel"/>
    <w:tmpl w:val="60CD5D98"/>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56">
    <w:nsid w:val="642655CC"/>
    <w:multiLevelType w:val="multilevel"/>
    <w:tmpl w:val="642655CC"/>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CDC111B"/>
    <w:multiLevelType w:val="multilevel"/>
    <w:tmpl w:val="6CDC111B"/>
    <w:lvl w:ilvl="0" w:tentative="0">
      <w:start w:val="2"/>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77624620"/>
    <w:multiLevelType w:val="multilevel"/>
    <w:tmpl w:val="776246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782A235A"/>
    <w:multiLevelType w:val="multilevel"/>
    <w:tmpl w:val="782A23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3"/>
  </w:num>
  <w:num w:numId="2">
    <w:abstractNumId w:val="50"/>
  </w:num>
  <w:num w:numId="3">
    <w:abstractNumId w:val="0"/>
  </w:num>
  <w:num w:numId="4">
    <w:abstractNumId w:val="1"/>
  </w:num>
  <w:num w:numId="5">
    <w:abstractNumId w:val="2"/>
  </w:num>
  <w:num w:numId="6">
    <w:abstractNumId w:val="13"/>
  </w:num>
  <w:num w:numId="7">
    <w:abstractNumId w:val="49"/>
  </w:num>
  <w:num w:numId="8">
    <w:abstractNumId w:val="8"/>
  </w:num>
  <w:num w:numId="9">
    <w:abstractNumId w:val="9"/>
  </w:num>
  <w:num w:numId="10">
    <w:abstractNumId w:val="11"/>
  </w:num>
  <w:num w:numId="11">
    <w:abstractNumId w:val="3"/>
  </w:num>
  <w:num w:numId="12">
    <w:abstractNumId w:val="4"/>
  </w:num>
  <w:num w:numId="13">
    <w:abstractNumId w:val="5"/>
  </w:num>
  <w:num w:numId="14">
    <w:abstractNumId w:val="6"/>
  </w:num>
  <w:num w:numId="15">
    <w:abstractNumId w:val="7"/>
  </w:num>
  <w:num w:numId="16">
    <w:abstractNumId w:val="10"/>
  </w:num>
  <w:num w:numId="17">
    <w:abstractNumId w:val="12"/>
  </w:num>
  <w:num w:numId="18">
    <w:abstractNumId w:val="15"/>
  </w:num>
  <w:num w:numId="19">
    <w:abstractNumId w:val="16"/>
  </w:num>
  <w:num w:numId="20">
    <w:abstractNumId w:val="17"/>
  </w:num>
  <w:num w:numId="21">
    <w:abstractNumId w:val="18"/>
  </w:num>
  <w:num w:numId="22">
    <w:abstractNumId w:val="19"/>
  </w:num>
  <w:num w:numId="23">
    <w:abstractNumId w:val="30"/>
  </w:num>
  <w:num w:numId="24">
    <w:abstractNumId w:val="54"/>
  </w:num>
  <w:num w:numId="25">
    <w:abstractNumId w:val="51"/>
  </w:num>
  <w:num w:numId="26">
    <w:abstractNumId w:val="35"/>
  </w:num>
  <w:num w:numId="27">
    <w:abstractNumId w:val="14"/>
  </w:num>
  <w:num w:numId="28">
    <w:abstractNumId w:val="36"/>
  </w:num>
  <w:num w:numId="29">
    <w:abstractNumId w:val="59"/>
  </w:num>
  <w:num w:numId="30">
    <w:abstractNumId w:val="41"/>
  </w:num>
  <w:num w:numId="31">
    <w:abstractNumId w:val="53"/>
  </w:num>
  <w:num w:numId="32">
    <w:abstractNumId w:val="29"/>
  </w:num>
  <w:num w:numId="33">
    <w:abstractNumId w:val="48"/>
  </w:num>
  <w:num w:numId="34">
    <w:abstractNumId w:val="43"/>
  </w:num>
  <w:num w:numId="35">
    <w:abstractNumId w:val="40"/>
  </w:num>
  <w:num w:numId="36">
    <w:abstractNumId w:val="37"/>
  </w:num>
  <w:num w:numId="37">
    <w:abstractNumId w:val="44"/>
  </w:num>
  <w:num w:numId="38">
    <w:abstractNumId w:val="45"/>
  </w:num>
  <w:num w:numId="39">
    <w:abstractNumId w:val="52"/>
  </w:num>
  <w:num w:numId="40">
    <w:abstractNumId w:val="28"/>
  </w:num>
  <w:num w:numId="41">
    <w:abstractNumId w:val="42"/>
  </w:num>
  <w:num w:numId="42">
    <w:abstractNumId w:val="55"/>
  </w:num>
  <w:num w:numId="43">
    <w:abstractNumId w:val="27"/>
  </w:num>
  <w:num w:numId="44">
    <w:abstractNumId w:val="38"/>
  </w:num>
  <w:num w:numId="45">
    <w:abstractNumId w:val="20"/>
  </w:num>
  <w:num w:numId="46">
    <w:abstractNumId w:val="22"/>
  </w:num>
  <w:num w:numId="47">
    <w:abstractNumId w:val="23"/>
  </w:num>
  <w:num w:numId="48">
    <w:abstractNumId w:val="21"/>
  </w:num>
  <w:num w:numId="49">
    <w:abstractNumId w:val="26"/>
  </w:num>
  <w:num w:numId="50">
    <w:abstractNumId w:val="58"/>
  </w:num>
  <w:num w:numId="51">
    <w:abstractNumId w:val="24"/>
  </w:num>
  <w:num w:numId="52">
    <w:abstractNumId w:val="25"/>
  </w:num>
  <w:num w:numId="53">
    <w:abstractNumId w:val="31"/>
  </w:num>
  <w:num w:numId="54">
    <w:abstractNumId w:val="56"/>
  </w:num>
  <w:num w:numId="55">
    <w:abstractNumId w:val="32"/>
  </w:num>
  <w:num w:numId="56">
    <w:abstractNumId w:val="47"/>
  </w:num>
  <w:num w:numId="57">
    <w:abstractNumId w:val="46"/>
  </w:num>
  <w:num w:numId="58">
    <w:abstractNumId w:val="57"/>
  </w:num>
  <w:num w:numId="59">
    <w:abstractNumId w:val="39"/>
  </w:num>
  <w:num w:numId="6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9"/>
  <w:hyphenationZone w:val="425"/>
  <w:characterSpacingControl w:val="doNotCompress"/>
  <w:footnotePr>
    <w:footnote w:id="4"/>
    <w:footnote w:id="5"/>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BA3"/>
    <w:rsid w:val="00002ABA"/>
    <w:rsid w:val="00004CE8"/>
    <w:rsid w:val="000063DC"/>
    <w:rsid w:val="0001226D"/>
    <w:rsid w:val="0001253A"/>
    <w:rsid w:val="00012F71"/>
    <w:rsid w:val="000249CC"/>
    <w:rsid w:val="00025786"/>
    <w:rsid w:val="00026F8A"/>
    <w:rsid w:val="000278F6"/>
    <w:rsid w:val="000322FC"/>
    <w:rsid w:val="00033430"/>
    <w:rsid w:val="000357BF"/>
    <w:rsid w:val="000357ED"/>
    <w:rsid w:val="00036EB1"/>
    <w:rsid w:val="00040695"/>
    <w:rsid w:val="00041133"/>
    <w:rsid w:val="0004260A"/>
    <w:rsid w:val="00043C53"/>
    <w:rsid w:val="00045929"/>
    <w:rsid w:val="000503FE"/>
    <w:rsid w:val="00051DE7"/>
    <w:rsid w:val="000525F5"/>
    <w:rsid w:val="000533DA"/>
    <w:rsid w:val="000536DA"/>
    <w:rsid w:val="00064728"/>
    <w:rsid w:val="00067061"/>
    <w:rsid w:val="0007083C"/>
    <w:rsid w:val="00071173"/>
    <w:rsid w:val="000737F2"/>
    <w:rsid w:val="00073FBA"/>
    <w:rsid w:val="00076784"/>
    <w:rsid w:val="00076DB3"/>
    <w:rsid w:val="00080D53"/>
    <w:rsid w:val="00081E12"/>
    <w:rsid w:val="0008242D"/>
    <w:rsid w:val="0008358A"/>
    <w:rsid w:val="000846DB"/>
    <w:rsid w:val="00085FDE"/>
    <w:rsid w:val="0009183B"/>
    <w:rsid w:val="00094401"/>
    <w:rsid w:val="00095B87"/>
    <w:rsid w:val="00096E32"/>
    <w:rsid w:val="000974D8"/>
    <w:rsid w:val="000A0530"/>
    <w:rsid w:val="000A0E8B"/>
    <w:rsid w:val="000A226A"/>
    <w:rsid w:val="000A4DAA"/>
    <w:rsid w:val="000A4F3F"/>
    <w:rsid w:val="000A540D"/>
    <w:rsid w:val="000A5FCD"/>
    <w:rsid w:val="000A6F2F"/>
    <w:rsid w:val="000A7CC6"/>
    <w:rsid w:val="000B0A37"/>
    <w:rsid w:val="000B6068"/>
    <w:rsid w:val="000C0CA6"/>
    <w:rsid w:val="000C1794"/>
    <w:rsid w:val="000D04E2"/>
    <w:rsid w:val="000D0519"/>
    <w:rsid w:val="000D122F"/>
    <w:rsid w:val="000D79CC"/>
    <w:rsid w:val="000D7ABA"/>
    <w:rsid w:val="000E375A"/>
    <w:rsid w:val="000E3C97"/>
    <w:rsid w:val="000E3CEB"/>
    <w:rsid w:val="000E5170"/>
    <w:rsid w:val="000E522A"/>
    <w:rsid w:val="000E63E1"/>
    <w:rsid w:val="000E7B54"/>
    <w:rsid w:val="000F23B8"/>
    <w:rsid w:val="000F3FE3"/>
    <w:rsid w:val="000F6EF2"/>
    <w:rsid w:val="000F72C4"/>
    <w:rsid w:val="00100167"/>
    <w:rsid w:val="0010416A"/>
    <w:rsid w:val="001048E5"/>
    <w:rsid w:val="00106A22"/>
    <w:rsid w:val="001072CA"/>
    <w:rsid w:val="00110038"/>
    <w:rsid w:val="001118AA"/>
    <w:rsid w:val="00114826"/>
    <w:rsid w:val="0011487A"/>
    <w:rsid w:val="00114A41"/>
    <w:rsid w:val="001152B2"/>
    <w:rsid w:val="00116C7D"/>
    <w:rsid w:val="00117981"/>
    <w:rsid w:val="00121B66"/>
    <w:rsid w:val="00122D86"/>
    <w:rsid w:val="00124715"/>
    <w:rsid w:val="00126397"/>
    <w:rsid w:val="00127563"/>
    <w:rsid w:val="00132F1D"/>
    <w:rsid w:val="0013416D"/>
    <w:rsid w:val="0013453A"/>
    <w:rsid w:val="00135ED8"/>
    <w:rsid w:val="00144D70"/>
    <w:rsid w:val="00144E1A"/>
    <w:rsid w:val="00145588"/>
    <w:rsid w:val="00145A71"/>
    <w:rsid w:val="00151D61"/>
    <w:rsid w:val="00154190"/>
    <w:rsid w:val="00155016"/>
    <w:rsid w:val="00155310"/>
    <w:rsid w:val="001618C8"/>
    <w:rsid w:val="001618DB"/>
    <w:rsid w:val="001649D7"/>
    <w:rsid w:val="00164EDE"/>
    <w:rsid w:val="00165E66"/>
    <w:rsid w:val="00167BF1"/>
    <w:rsid w:val="001702C4"/>
    <w:rsid w:val="001705E4"/>
    <w:rsid w:val="0017081C"/>
    <w:rsid w:val="00171C45"/>
    <w:rsid w:val="00173041"/>
    <w:rsid w:val="001737D8"/>
    <w:rsid w:val="00174620"/>
    <w:rsid w:val="0017703F"/>
    <w:rsid w:val="0017740F"/>
    <w:rsid w:val="00182F36"/>
    <w:rsid w:val="00183FE0"/>
    <w:rsid w:val="0018531D"/>
    <w:rsid w:val="00185EEE"/>
    <w:rsid w:val="00186436"/>
    <w:rsid w:val="0018743F"/>
    <w:rsid w:val="00191BC3"/>
    <w:rsid w:val="00192196"/>
    <w:rsid w:val="00193BAD"/>
    <w:rsid w:val="00194833"/>
    <w:rsid w:val="00194A1D"/>
    <w:rsid w:val="001966EE"/>
    <w:rsid w:val="00196D35"/>
    <w:rsid w:val="00197587"/>
    <w:rsid w:val="001A3CA5"/>
    <w:rsid w:val="001A5194"/>
    <w:rsid w:val="001A60F2"/>
    <w:rsid w:val="001A6422"/>
    <w:rsid w:val="001B3DE0"/>
    <w:rsid w:val="001B4980"/>
    <w:rsid w:val="001B4BF3"/>
    <w:rsid w:val="001B5734"/>
    <w:rsid w:val="001B78A9"/>
    <w:rsid w:val="001B7AD7"/>
    <w:rsid w:val="001C0134"/>
    <w:rsid w:val="001C02E0"/>
    <w:rsid w:val="001C032E"/>
    <w:rsid w:val="001C05FC"/>
    <w:rsid w:val="001C157F"/>
    <w:rsid w:val="001C1EBC"/>
    <w:rsid w:val="001C4BE5"/>
    <w:rsid w:val="001C5A8E"/>
    <w:rsid w:val="001D0DBA"/>
    <w:rsid w:val="001D1D8A"/>
    <w:rsid w:val="001D1EBF"/>
    <w:rsid w:val="001D2C3C"/>
    <w:rsid w:val="001D65B7"/>
    <w:rsid w:val="001D7680"/>
    <w:rsid w:val="001E3A97"/>
    <w:rsid w:val="001E3FBB"/>
    <w:rsid w:val="001E6665"/>
    <w:rsid w:val="001E6CFA"/>
    <w:rsid w:val="001E74B0"/>
    <w:rsid w:val="001F181A"/>
    <w:rsid w:val="001F2986"/>
    <w:rsid w:val="001F301D"/>
    <w:rsid w:val="001F3255"/>
    <w:rsid w:val="00202F61"/>
    <w:rsid w:val="002030A4"/>
    <w:rsid w:val="002042AD"/>
    <w:rsid w:val="002054BB"/>
    <w:rsid w:val="00205611"/>
    <w:rsid w:val="0020720B"/>
    <w:rsid w:val="00207652"/>
    <w:rsid w:val="00210202"/>
    <w:rsid w:val="00214CD0"/>
    <w:rsid w:val="0021679F"/>
    <w:rsid w:val="00216B56"/>
    <w:rsid w:val="00216F03"/>
    <w:rsid w:val="00217951"/>
    <w:rsid w:val="00224639"/>
    <w:rsid w:val="00227952"/>
    <w:rsid w:val="00231A5E"/>
    <w:rsid w:val="00232977"/>
    <w:rsid w:val="0023380E"/>
    <w:rsid w:val="002338FD"/>
    <w:rsid w:val="00233AFD"/>
    <w:rsid w:val="00233FB8"/>
    <w:rsid w:val="00234A5D"/>
    <w:rsid w:val="00235F96"/>
    <w:rsid w:val="00236592"/>
    <w:rsid w:val="0023668B"/>
    <w:rsid w:val="002427AC"/>
    <w:rsid w:val="00242ADA"/>
    <w:rsid w:val="00244912"/>
    <w:rsid w:val="00245E97"/>
    <w:rsid w:val="002522C9"/>
    <w:rsid w:val="0025265E"/>
    <w:rsid w:val="00254FAA"/>
    <w:rsid w:val="0025754C"/>
    <w:rsid w:val="0025763E"/>
    <w:rsid w:val="0026066F"/>
    <w:rsid w:val="00265476"/>
    <w:rsid w:val="00265D0B"/>
    <w:rsid w:val="00267BB9"/>
    <w:rsid w:val="002746D7"/>
    <w:rsid w:val="0027647E"/>
    <w:rsid w:val="00276C8B"/>
    <w:rsid w:val="00280DCC"/>
    <w:rsid w:val="00280E58"/>
    <w:rsid w:val="0028324A"/>
    <w:rsid w:val="00283C01"/>
    <w:rsid w:val="00292AD9"/>
    <w:rsid w:val="00293C0A"/>
    <w:rsid w:val="00294231"/>
    <w:rsid w:val="00295D22"/>
    <w:rsid w:val="00296A5E"/>
    <w:rsid w:val="002A03C1"/>
    <w:rsid w:val="002A4D9A"/>
    <w:rsid w:val="002B21AD"/>
    <w:rsid w:val="002B4E11"/>
    <w:rsid w:val="002B4E62"/>
    <w:rsid w:val="002B53D2"/>
    <w:rsid w:val="002B66FE"/>
    <w:rsid w:val="002B7D9F"/>
    <w:rsid w:val="002C1619"/>
    <w:rsid w:val="002C342B"/>
    <w:rsid w:val="002C4E25"/>
    <w:rsid w:val="002C66F8"/>
    <w:rsid w:val="002D1B1D"/>
    <w:rsid w:val="002D3522"/>
    <w:rsid w:val="002D4A5C"/>
    <w:rsid w:val="002D501B"/>
    <w:rsid w:val="002D546A"/>
    <w:rsid w:val="002D6E6C"/>
    <w:rsid w:val="002D7A8F"/>
    <w:rsid w:val="002D7B24"/>
    <w:rsid w:val="002E05E7"/>
    <w:rsid w:val="002E3D50"/>
    <w:rsid w:val="002E6448"/>
    <w:rsid w:val="002E6B82"/>
    <w:rsid w:val="002E793A"/>
    <w:rsid w:val="002E7DEF"/>
    <w:rsid w:val="002F0C95"/>
    <w:rsid w:val="002F1013"/>
    <w:rsid w:val="002F301D"/>
    <w:rsid w:val="003032A0"/>
    <w:rsid w:val="00303578"/>
    <w:rsid w:val="00304803"/>
    <w:rsid w:val="003051A1"/>
    <w:rsid w:val="0030523D"/>
    <w:rsid w:val="003104DA"/>
    <w:rsid w:val="003107A7"/>
    <w:rsid w:val="00311B9E"/>
    <w:rsid w:val="003122AC"/>
    <w:rsid w:val="00315F3A"/>
    <w:rsid w:val="003172EE"/>
    <w:rsid w:val="003177A1"/>
    <w:rsid w:val="00317985"/>
    <w:rsid w:val="00321891"/>
    <w:rsid w:val="00321EC8"/>
    <w:rsid w:val="00321F0F"/>
    <w:rsid w:val="003236C6"/>
    <w:rsid w:val="003243C5"/>
    <w:rsid w:val="00324A6A"/>
    <w:rsid w:val="00324D5C"/>
    <w:rsid w:val="00324E6F"/>
    <w:rsid w:val="0032577C"/>
    <w:rsid w:val="003259D6"/>
    <w:rsid w:val="00325A80"/>
    <w:rsid w:val="00326069"/>
    <w:rsid w:val="003261F1"/>
    <w:rsid w:val="00326B08"/>
    <w:rsid w:val="003272A6"/>
    <w:rsid w:val="003306C5"/>
    <w:rsid w:val="003327D1"/>
    <w:rsid w:val="003329CC"/>
    <w:rsid w:val="00332FAB"/>
    <w:rsid w:val="00334B47"/>
    <w:rsid w:val="00335B09"/>
    <w:rsid w:val="0033648D"/>
    <w:rsid w:val="0034199D"/>
    <w:rsid w:val="0034306A"/>
    <w:rsid w:val="003465B1"/>
    <w:rsid w:val="00346CBF"/>
    <w:rsid w:val="003520F1"/>
    <w:rsid w:val="00354D22"/>
    <w:rsid w:val="00355009"/>
    <w:rsid w:val="00355A41"/>
    <w:rsid w:val="00355BD8"/>
    <w:rsid w:val="003561F7"/>
    <w:rsid w:val="00363D6F"/>
    <w:rsid w:val="00365F43"/>
    <w:rsid w:val="003667D0"/>
    <w:rsid w:val="003715EE"/>
    <w:rsid w:val="00373CD4"/>
    <w:rsid w:val="00374102"/>
    <w:rsid w:val="00375988"/>
    <w:rsid w:val="003813E4"/>
    <w:rsid w:val="003819B6"/>
    <w:rsid w:val="00382797"/>
    <w:rsid w:val="00383DAA"/>
    <w:rsid w:val="00384C7A"/>
    <w:rsid w:val="0038562E"/>
    <w:rsid w:val="003866F0"/>
    <w:rsid w:val="003867EA"/>
    <w:rsid w:val="00390583"/>
    <w:rsid w:val="00391327"/>
    <w:rsid w:val="0039251D"/>
    <w:rsid w:val="00396D86"/>
    <w:rsid w:val="003A385E"/>
    <w:rsid w:val="003A4E09"/>
    <w:rsid w:val="003A6E69"/>
    <w:rsid w:val="003A7189"/>
    <w:rsid w:val="003B14FA"/>
    <w:rsid w:val="003B1B4B"/>
    <w:rsid w:val="003B2098"/>
    <w:rsid w:val="003B5FA6"/>
    <w:rsid w:val="003C036A"/>
    <w:rsid w:val="003C09C2"/>
    <w:rsid w:val="003C0F3A"/>
    <w:rsid w:val="003C2F84"/>
    <w:rsid w:val="003C43F8"/>
    <w:rsid w:val="003C4474"/>
    <w:rsid w:val="003C565D"/>
    <w:rsid w:val="003C5EE3"/>
    <w:rsid w:val="003C646F"/>
    <w:rsid w:val="003C64C7"/>
    <w:rsid w:val="003D1710"/>
    <w:rsid w:val="003D1FE4"/>
    <w:rsid w:val="003D2874"/>
    <w:rsid w:val="003D375C"/>
    <w:rsid w:val="003D43DB"/>
    <w:rsid w:val="003D6791"/>
    <w:rsid w:val="003D6F0A"/>
    <w:rsid w:val="003D7C41"/>
    <w:rsid w:val="003E069B"/>
    <w:rsid w:val="003E1E6B"/>
    <w:rsid w:val="003E51AA"/>
    <w:rsid w:val="003F1E25"/>
    <w:rsid w:val="003F2CAD"/>
    <w:rsid w:val="003F2E34"/>
    <w:rsid w:val="003F3245"/>
    <w:rsid w:val="003F428B"/>
    <w:rsid w:val="003F4954"/>
    <w:rsid w:val="003F52DB"/>
    <w:rsid w:val="003F794D"/>
    <w:rsid w:val="003F7A88"/>
    <w:rsid w:val="004018C2"/>
    <w:rsid w:val="004029CC"/>
    <w:rsid w:val="00404FB6"/>
    <w:rsid w:val="0040688E"/>
    <w:rsid w:val="004077AC"/>
    <w:rsid w:val="00407A66"/>
    <w:rsid w:val="00415264"/>
    <w:rsid w:val="00416822"/>
    <w:rsid w:val="00416A08"/>
    <w:rsid w:val="00417313"/>
    <w:rsid w:val="00417D63"/>
    <w:rsid w:val="0042175E"/>
    <w:rsid w:val="00421C3A"/>
    <w:rsid w:val="00422EBD"/>
    <w:rsid w:val="00423940"/>
    <w:rsid w:val="00427296"/>
    <w:rsid w:val="0043189B"/>
    <w:rsid w:val="00432158"/>
    <w:rsid w:val="004327EF"/>
    <w:rsid w:val="00432836"/>
    <w:rsid w:val="00432A80"/>
    <w:rsid w:val="004339AF"/>
    <w:rsid w:val="00433A67"/>
    <w:rsid w:val="004341F2"/>
    <w:rsid w:val="00434220"/>
    <w:rsid w:val="00436617"/>
    <w:rsid w:val="0044165B"/>
    <w:rsid w:val="00442F5F"/>
    <w:rsid w:val="00442F88"/>
    <w:rsid w:val="00444395"/>
    <w:rsid w:val="00444BEC"/>
    <w:rsid w:val="00445EBE"/>
    <w:rsid w:val="0044616A"/>
    <w:rsid w:val="0045069C"/>
    <w:rsid w:val="0045109C"/>
    <w:rsid w:val="004524F9"/>
    <w:rsid w:val="004574F7"/>
    <w:rsid w:val="00457E86"/>
    <w:rsid w:val="00460195"/>
    <w:rsid w:val="00460790"/>
    <w:rsid w:val="00462DB2"/>
    <w:rsid w:val="00463020"/>
    <w:rsid w:val="004634F2"/>
    <w:rsid w:val="00463B65"/>
    <w:rsid w:val="00463BEF"/>
    <w:rsid w:val="00465853"/>
    <w:rsid w:val="00466569"/>
    <w:rsid w:val="00466870"/>
    <w:rsid w:val="00467FBD"/>
    <w:rsid w:val="0047672A"/>
    <w:rsid w:val="00480B4E"/>
    <w:rsid w:val="00482036"/>
    <w:rsid w:val="00484A09"/>
    <w:rsid w:val="00485A43"/>
    <w:rsid w:val="00493112"/>
    <w:rsid w:val="004939DC"/>
    <w:rsid w:val="004941C9"/>
    <w:rsid w:val="00495374"/>
    <w:rsid w:val="0049544E"/>
    <w:rsid w:val="004A080F"/>
    <w:rsid w:val="004A12BA"/>
    <w:rsid w:val="004A1EFB"/>
    <w:rsid w:val="004A4C10"/>
    <w:rsid w:val="004A52A6"/>
    <w:rsid w:val="004A5611"/>
    <w:rsid w:val="004A739B"/>
    <w:rsid w:val="004B218D"/>
    <w:rsid w:val="004B470C"/>
    <w:rsid w:val="004B4FFB"/>
    <w:rsid w:val="004B5573"/>
    <w:rsid w:val="004B5764"/>
    <w:rsid w:val="004C36F0"/>
    <w:rsid w:val="004C372F"/>
    <w:rsid w:val="004C550A"/>
    <w:rsid w:val="004C6656"/>
    <w:rsid w:val="004C66BA"/>
    <w:rsid w:val="004C7F96"/>
    <w:rsid w:val="004D02F2"/>
    <w:rsid w:val="004D1227"/>
    <w:rsid w:val="004D4289"/>
    <w:rsid w:val="004D4958"/>
    <w:rsid w:val="004D5ED8"/>
    <w:rsid w:val="004D61EB"/>
    <w:rsid w:val="004D72EB"/>
    <w:rsid w:val="004D78A8"/>
    <w:rsid w:val="004D7B6B"/>
    <w:rsid w:val="004E1EEB"/>
    <w:rsid w:val="004E2621"/>
    <w:rsid w:val="004E4279"/>
    <w:rsid w:val="004E4C1D"/>
    <w:rsid w:val="004E54C0"/>
    <w:rsid w:val="004E644C"/>
    <w:rsid w:val="004F0583"/>
    <w:rsid w:val="004F08D4"/>
    <w:rsid w:val="004F099E"/>
    <w:rsid w:val="004F0F0C"/>
    <w:rsid w:val="004F1200"/>
    <w:rsid w:val="004F2EA3"/>
    <w:rsid w:val="004F2FFC"/>
    <w:rsid w:val="004F35DB"/>
    <w:rsid w:val="004F3923"/>
    <w:rsid w:val="004F39AF"/>
    <w:rsid w:val="004F5EBE"/>
    <w:rsid w:val="004F739E"/>
    <w:rsid w:val="005035BB"/>
    <w:rsid w:val="00505CAB"/>
    <w:rsid w:val="005062A3"/>
    <w:rsid w:val="005070CA"/>
    <w:rsid w:val="00510434"/>
    <w:rsid w:val="00510A74"/>
    <w:rsid w:val="005117A7"/>
    <w:rsid w:val="00515D6E"/>
    <w:rsid w:val="00516A90"/>
    <w:rsid w:val="00517CCB"/>
    <w:rsid w:val="00517F26"/>
    <w:rsid w:val="005225A2"/>
    <w:rsid w:val="0052400D"/>
    <w:rsid w:val="00525F0A"/>
    <w:rsid w:val="00526143"/>
    <w:rsid w:val="00531D63"/>
    <w:rsid w:val="00532E66"/>
    <w:rsid w:val="005352D3"/>
    <w:rsid w:val="0053564E"/>
    <w:rsid w:val="00536E14"/>
    <w:rsid w:val="005377B0"/>
    <w:rsid w:val="00543113"/>
    <w:rsid w:val="0054507E"/>
    <w:rsid w:val="0054693C"/>
    <w:rsid w:val="00552BF1"/>
    <w:rsid w:val="00553BAB"/>
    <w:rsid w:val="0055488D"/>
    <w:rsid w:val="00554B8F"/>
    <w:rsid w:val="005563A6"/>
    <w:rsid w:val="0056051A"/>
    <w:rsid w:val="0056114A"/>
    <w:rsid w:val="00561D9C"/>
    <w:rsid w:val="005620AA"/>
    <w:rsid w:val="005620FF"/>
    <w:rsid w:val="005629B2"/>
    <w:rsid w:val="0056495D"/>
    <w:rsid w:val="00564994"/>
    <w:rsid w:val="00564A55"/>
    <w:rsid w:val="00566E73"/>
    <w:rsid w:val="005670E4"/>
    <w:rsid w:val="005676F7"/>
    <w:rsid w:val="00572750"/>
    <w:rsid w:val="005751EB"/>
    <w:rsid w:val="00576EC0"/>
    <w:rsid w:val="0057701B"/>
    <w:rsid w:val="00577357"/>
    <w:rsid w:val="00580615"/>
    <w:rsid w:val="00580F61"/>
    <w:rsid w:val="00581DE0"/>
    <w:rsid w:val="00582305"/>
    <w:rsid w:val="00585445"/>
    <w:rsid w:val="005864C7"/>
    <w:rsid w:val="00590F2E"/>
    <w:rsid w:val="005926B9"/>
    <w:rsid w:val="005930CA"/>
    <w:rsid w:val="00595A59"/>
    <w:rsid w:val="0059641C"/>
    <w:rsid w:val="00597517"/>
    <w:rsid w:val="005A11FF"/>
    <w:rsid w:val="005A2C47"/>
    <w:rsid w:val="005A2C9C"/>
    <w:rsid w:val="005A5A52"/>
    <w:rsid w:val="005A5BA3"/>
    <w:rsid w:val="005A5DD5"/>
    <w:rsid w:val="005A6171"/>
    <w:rsid w:val="005B5010"/>
    <w:rsid w:val="005B6062"/>
    <w:rsid w:val="005B7206"/>
    <w:rsid w:val="005B7B99"/>
    <w:rsid w:val="005C1918"/>
    <w:rsid w:val="005C1BB7"/>
    <w:rsid w:val="005C1DA8"/>
    <w:rsid w:val="005C2C97"/>
    <w:rsid w:val="005C3961"/>
    <w:rsid w:val="005C3AB8"/>
    <w:rsid w:val="005C6367"/>
    <w:rsid w:val="005C68FD"/>
    <w:rsid w:val="005C70DC"/>
    <w:rsid w:val="005D25B8"/>
    <w:rsid w:val="005D3BF1"/>
    <w:rsid w:val="005D577B"/>
    <w:rsid w:val="005D5E05"/>
    <w:rsid w:val="005D72D3"/>
    <w:rsid w:val="005D798B"/>
    <w:rsid w:val="005E1094"/>
    <w:rsid w:val="005E162A"/>
    <w:rsid w:val="005E2D43"/>
    <w:rsid w:val="005E2EC7"/>
    <w:rsid w:val="005E342D"/>
    <w:rsid w:val="005E368B"/>
    <w:rsid w:val="005E5701"/>
    <w:rsid w:val="005E6103"/>
    <w:rsid w:val="005E7ABC"/>
    <w:rsid w:val="005E7B0B"/>
    <w:rsid w:val="005E7BC6"/>
    <w:rsid w:val="005F3611"/>
    <w:rsid w:val="005F48F9"/>
    <w:rsid w:val="005F54E0"/>
    <w:rsid w:val="005F5633"/>
    <w:rsid w:val="0060075F"/>
    <w:rsid w:val="006021F7"/>
    <w:rsid w:val="00603E25"/>
    <w:rsid w:val="00604A43"/>
    <w:rsid w:val="00606730"/>
    <w:rsid w:val="006105DC"/>
    <w:rsid w:val="00611D73"/>
    <w:rsid w:val="006126A6"/>
    <w:rsid w:val="00613047"/>
    <w:rsid w:val="00614049"/>
    <w:rsid w:val="00614162"/>
    <w:rsid w:val="00615F08"/>
    <w:rsid w:val="00616D79"/>
    <w:rsid w:val="006171F5"/>
    <w:rsid w:val="00621264"/>
    <w:rsid w:val="00624429"/>
    <w:rsid w:val="006256CF"/>
    <w:rsid w:val="006322A4"/>
    <w:rsid w:val="00633FC1"/>
    <w:rsid w:val="006377E3"/>
    <w:rsid w:val="006408DD"/>
    <w:rsid w:val="0064091E"/>
    <w:rsid w:val="0064198C"/>
    <w:rsid w:val="00644381"/>
    <w:rsid w:val="00644E2A"/>
    <w:rsid w:val="00651C9E"/>
    <w:rsid w:val="006521C7"/>
    <w:rsid w:val="006539B7"/>
    <w:rsid w:val="00653B02"/>
    <w:rsid w:val="00655ADE"/>
    <w:rsid w:val="00657316"/>
    <w:rsid w:val="00657A45"/>
    <w:rsid w:val="006605B1"/>
    <w:rsid w:val="006637A4"/>
    <w:rsid w:val="006637FB"/>
    <w:rsid w:val="0066440D"/>
    <w:rsid w:val="00665163"/>
    <w:rsid w:val="00670129"/>
    <w:rsid w:val="00672D0C"/>
    <w:rsid w:val="0067652C"/>
    <w:rsid w:val="00676878"/>
    <w:rsid w:val="00680584"/>
    <w:rsid w:val="006842C7"/>
    <w:rsid w:val="00685898"/>
    <w:rsid w:val="006878D2"/>
    <w:rsid w:val="00690DC1"/>
    <w:rsid w:val="0069183C"/>
    <w:rsid w:val="00691911"/>
    <w:rsid w:val="00692082"/>
    <w:rsid w:val="006937EF"/>
    <w:rsid w:val="006960EC"/>
    <w:rsid w:val="006A0859"/>
    <w:rsid w:val="006A1140"/>
    <w:rsid w:val="006A150E"/>
    <w:rsid w:val="006A1EFC"/>
    <w:rsid w:val="006B226F"/>
    <w:rsid w:val="006B53E8"/>
    <w:rsid w:val="006B57CB"/>
    <w:rsid w:val="006B61F7"/>
    <w:rsid w:val="006B7DBA"/>
    <w:rsid w:val="006C1F65"/>
    <w:rsid w:val="006C2DEA"/>
    <w:rsid w:val="006C407B"/>
    <w:rsid w:val="006C466E"/>
    <w:rsid w:val="006C4720"/>
    <w:rsid w:val="006C5725"/>
    <w:rsid w:val="006C6CE1"/>
    <w:rsid w:val="006D0A0D"/>
    <w:rsid w:val="006E187D"/>
    <w:rsid w:val="006E1E02"/>
    <w:rsid w:val="006E34EC"/>
    <w:rsid w:val="006E4AD7"/>
    <w:rsid w:val="006E5484"/>
    <w:rsid w:val="006E7CB5"/>
    <w:rsid w:val="006F49A7"/>
    <w:rsid w:val="006F50A1"/>
    <w:rsid w:val="006F57EB"/>
    <w:rsid w:val="006F71F8"/>
    <w:rsid w:val="00700623"/>
    <w:rsid w:val="0070128C"/>
    <w:rsid w:val="00702857"/>
    <w:rsid w:val="0070350D"/>
    <w:rsid w:val="0070625D"/>
    <w:rsid w:val="00706576"/>
    <w:rsid w:val="0070758D"/>
    <w:rsid w:val="00710C9C"/>
    <w:rsid w:val="00710F29"/>
    <w:rsid w:val="007148B3"/>
    <w:rsid w:val="00714CF6"/>
    <w:rsid w:val="00716FB5"/>
    <w:rsid w:val="007172F7"/>
    <w:rsid w:val="00717842"/>
    <w:rsid w:val="0072111C"/>
    <w:rsid w:val="00722A47"/>
    <w:rsid w:val="00722BDC"/>
    <w:rsid w:val="00723EDA"/>
    <w:rsid w:val="00725DDB"/>
    <w:rsid w:val="00725FC0"/>
    <w:rsid w:val="0073075D"/>
    <w:rsid w:val="00732849"/>
    <w:rsid w:val="00733EBC"/>
    <w:rsid w:val="0073498C"/>
    <w:rsid w:val="00734DD4"/>
    <w:rsid w:val="00734F3B"/>
    <w:rsid w:val="0073622D"/>
    <w:rsid w:val="00736F5F"/>
    <w:rsid w:val="00737369"/>
    <w:rsid w:val="00737673"/>
    <w:rsid w:val="0075687C"/>
    <w:rsid w:val="007606DC"/>
    <w:rsid w:val="00760C3B"/>
    <w:rsid w:val="00760DB3"/>
    <w:rsid w:val="007612AB"/>
    <w:rsid w:val="0076209D"/>
    <w:rsid w:val="00762C30"/>
    <w:rsid w:val="00764271"/>
    <w:rsid w:val="00764E30"/>
    <w:rsid w:val="007741E6"/>
    <w:rsid w:val="00777464"/>
    <w:rsid w:val="0078169B"/>
    <w:rsid w:val="00782F7F"/>
    <w:rsid w:val="00783B9C"/>
    <w:rsid w:val="00783FEA"/>
    <w:rsid w:val="00785B98"/>
    <w:rsid w:val="00785E77"/>
    <w:rsid w:val="007860B2"/>
    <w:rsid w:val="00791A8E"/>
    <w:rsid w:val="0079509E"/>
    <w:rsid w:val="00795281"/>
    <w:rsid w:val="00795733"/>
    <w:rsid w:val="00795F43"/>
    <w:rsid w:val="007968F4"/>
    <w:rsid w:val="00797D59"/>
    <w:rsid w:val="007A0541"/>
    <w:rsid w:val="007A2E7E"/>
    <w:rsid w:val="007A6246"/>
    <w:rsid w:val="007A73C5"/>
    <w:rsid w:val="007A7DFB"/>
    <w:rsid w:val="007B1066"/>
    <w:rsid w:val="007B1803"/>
    <w:rsid w:val="007B34C8"/>
    <w:rsid w:val="007B38E1"/>
    <w:rsid w:val="007B4A71"/>
    <w:rsid w:val="007B4B83"/>
    <w:rsid w:val="007B54BF"/>
    <w:rsid w:val="007B659E"/>
    <w:rsid w:val="007C0180"/>
    <w:rsid w:val="007C0786"/>
    <w:rsid w:val="007C139D"/>
    <w:rsid w:val="007C3835"/>
    <w:rsid w:val="007D15AF"/>
    <w:rsid w:val="007D4DD1"/>
    <w:rsid w:val="007D56C3"/>
    <w:rsid w:val="007D64A9"/>
    <w:rsid w:val="007D7DCC"/>
    <w:rsid w:val="007E4720"/>
    <w:rsid w:val="007F034D"/>
    <w:rsid w:val="007F298D"/>
    <w:rsid w:val="007F5258"/>
    <w:rsid w:val="007F52D4"/>
    <w:rsid w:val="007F5B45"/>
    <w:rsid w:val="0080053C"/>
    <w:rsid w:val="00802CB2"/>
    <w:rsid w:val="0080556F"/>
    <w:rsid w:val="00806DE4"/>
    <w:rsid w:val="00810022"/>
    <w:rsid w:val="00812A30"/>
    <w:rsid w:val="00813999"/>
    <w:rsid w:val="00813DDA"/>
    <w:rsid w:val="00814E57"/>
    <w:rsid w:val="008150EB"/>
    <w:rsid w:val="00815BEC"/>
    <w:rsid w:val="00815E96"/>
    <w:rsid w:val="008233F0"/>
    <w:rsid w:val="00825D6C"/>
    <w:rsid w:val="0083076D"/>
    <w:rsid w:val="00831186"/>
    <w:rsid w:val="00831B0D"/>
    <w:rsid w:val="00834E47"/>
    <w:rsid w:val="00835B00"/>
    <w:rsid w:val="0083675B"/>
    <w:rsid w:val="0083735F"/>
    <w:rsid w:val="008405AB"/>
    <w:rsid w:val="008407FA"/>
    <w:rsid w:val="00842CCB"/>
    <w:rsid w:val="00843717"/>
    <w:rsid w:val="00845345"/>
    <w:rsid w:val="008463B0"/>
    <w:rsid w:val="00847E8A"/>
    <w:rsid w:val="00854A73"/>
    <w:rsid w:val="00855B26"/>
    <w:rsid w:val="0085639F"/>
    <w:rsid w:val="00856B71"/>
    <w:rsid w:val="00860302"/>
    <w:rsid w:val="00860BB6"/>
    <w:rsid w:val="00862B2F"/>
    <w:rsid w:val="00865F97"/>
    <w:rsid w:val="00870727"/>
    <w:rsid w:val="00870C66"/>
    <w:rsid w:val="008712FA"/>
    <w:rsid w:val="00871943"/>
    <w:rsid w:val="00871E70"/>
    <w:rsid w:val="0087410B"/>
    <w:rsid w:val="00874A65"/>
    <w:rsid w:val="0088356D"/>
    <w:rsid w:val="008849E6"/>
    <w:rsid w:val="00885BA3"/>
    <w:rsid w:val="00887CF0"/>
    <w:rsid w:val="008905AF"/>
    <w:rsid w:val="00891A39"/>
    <w:rsid w:val="008922E0"/>
    <w:rsid w:val="008959DD"/>
    <w:rsid w:val="008A311D"/>
    <w:rsid w:val="008A60A6"/>
    <w:rsid w:val="008A6D3E"/>
    <w:rsid w:val="008A6F01"/>
    <w:rsid w:val="008A7F6E"/>
    <w:rsid w:val="008B0BC1"/>
    <w:rsid w:val="008B200A"/>
    <w:rsid w:val="008B2120"/>
    <w:rsid w:val="008B2AE4"/>
    <w:rsid w:val="008B33B3"/>
    <w:rsid w:val="008B46BD"/>
    <w:rsid w:val="008B5807"/>
    <w:rsid w:val="008B759B"/>
    <w:rsid w:val="008C1378"/>
    <w:rsid w:val="008C1B87"/>
    <w:rsid w:val="008C27B3"/>
    <w:rsid w:val="008C2DD3"/>
    <w:rsid w:val="008C3B80"/>
    <w:rsid w:val="008C4A4A"/>
    <w:rsid w:val="008C5002"/>
    <w:rsid w:val="008C6133"/>
    <w:rsid w:val="008C6A62"/>
    <w:rsid w:val="008C6C27"/>
    <w:rsid w:val="008D3C4A"/>
    <w:rsid w:val="008D69D8"/>
    <w:rsid w:val="008E2183"/>
    <w:rsid w:val="008E2CCF"/>
    <w:rsid w:val="008E2DB7"/>
    <w:rsid w:val="008E334D"/>
    <w:rsid w:val="008E370A"/>
    <w:rsid w:val="008E3C10"/>
    <w:rsid w:val="008E691D"/>
    <w:rsid w:val="008E7CFA"/>
    <w:rsid w:val="008E7E94"/>
    <w:rsid w:val="008F42BF"/>
    <w:rsid w:val="008F55DB"/>
    <w:rsid w:val="008F5ABF"/>
    <w:rsid w:val="0090011B"/>
    <w:rsid w:val="00901CD6"/>
    <w:rsid w:val="00901E4F"/>
    <w:rsid w:val="0090260E"/>
    <w:rsid w:val="009028E2"/>
    <w:rsid w:val="009029F1"/>
    <w:rsid w:val="009046A0"/>
    <w:rsid w:val="00904945"/>
    <w:rsid w:val="00905166"/>
    <w:rsid w:val="00905B59"/>
    <w:rsid w:val="0090668F"/>
    <w:rsid w:val="00906DD3"/>
    <w:rsid w:val="00913D8C"/>
    <w:rsid w:val="009150B5"/>
    <w:rsid w:val="00916551"/>
    <w:rsid w:val="00916D5B"/>
    <w:rsid w:val="00921643"/>
    <w:rsid w:val="00921D9E"/>
    <w:rsid w:val="009235A8"/>
    <w:rsid w:val="00924471"/>
    <w:rsid w:val="0092571C"/>
    <w:rsid w:val="009265C9"/>
    <w:rsid w:val="009309C6"/>
    <w:rsid w:val="00931D4F"/>
    <w:rsid w:val="0093349C"/>
    <w:rsid w:val="0093447A"/>
    <w:rsid w:val="00934770"/>
    <w:rsid w:val="00934B60"/>
    <w:rsid w:val="00934DF1"/>
    <w:rsid w:val="0093611B"/>
    <w:rsid w:val="00937323"/>
    <w:rsid w:val="0094049D"/>
    <w:rsid w:val="00942381"/>
    <w:rsid w:val="00946383"/>
    <w:rsid w:val="009530FF"/>
    <w:rsid w:val="00954E33"/>
    <w:rsid w:val="00955BB4"/>
    <w:rsid w:val="00957C7E"/>
    <w:rsid w:val="009608D2"/>
    <w:rsid w:val="00960D18"/>
    <w:rsid w:val="00965D09"/>
    <w:rsid w:val="00965F4F"/>
    <w:rsid w:val="00967A75"/>
    <w:rsid w:val="009705FA"/>
    <w:rsid w:val="00970C04"/>
    <w:rsid w:val="009735A3"/>
    <w:rsid w:val="00975857"/>
    <w:rsid w:val="00975B81"/>
    <w:rsid w:val="00975C15"/>
    <w:rsid w:val="009776F7"/>
    <w:rsid w:val="0098398C"/>
    <w:rsid w:val="00983FEF"/>
    <w:rsid w:val="00984F1C"/>
    <w:rsid w:val="0098599D"/>
    <w:rsid w:val="00985FEC"/>
    <w:rsid w:val="00987DEE"/>
    <w:rsid w:val="00995674"/>
    <w:rsid w:val="00995D8F"/>
    <w:rsid w:val="009A03E4"/>
    <w:rsid w:val="009A37D1"/>
    <w:rsid w:val="009A3EE0"/>
    <w:rsid w:val="009A4510"/>
    <w:rsid w:val="009A4CB8"/>
    <w:rsid w:val="009A5400"/>
    <w:rsid w:val="009A609C"/>
    <w:rsid w:val="009A7AA8"/>
    <w:rsid w:val="009B0DC7"/>
    <w:rsid w:val="009B3961"/>
    <w:rsid w:val="009B437A"/>
    <w:rsid w:val="009B5394"/>
    <w:rsid w:val="009B7563"/>
    <w:rsid w:val="009B7ED6"/>
    <w:rsid w:val="009C065F"/>
    <w:rsid w:val="009C0D3C"/>
    <w:rsid w:val="009C2330"/>
    <w:rsid w:val="009C2828"/>
    <w:rsid w:val="009C298F"/>
    <w:rsid w:val="009C3198"/>
    <w:rsid w:val="009C430D"/>
    <w:rsid w:val="009C7A54"/>
    <w:rsid w:val="009D6FFD"/>
    <w:rsid w:val="009E0F2F"/>
    <w:rsid w:val="009E0FFE"/>
    <w:rsid w:val="009E183C"/>
    <w:rsid w:val="009E216D"/>
    <w:rsid w:val="009E2FAE"/>
    <w:rsid w:val="009E308B"/>
    <w:rsid w:val="009E310A"/>
    <w:rsid w:val="009E4619"/>
    <w:rsid w:val="009E5764"/>
    <w:rsid w:val="009E7FE8"/>
    <w:rsid w:val="009F1889"/>
    <w:rsid w:val="009F1F6B"/>
    <w:rsid w:val="009F438C"/>
    <w:rsid w:val="009F4664"/>
    <w:rsid w:val="009F4D73"/>
    <w:rsid w:val="009F7F6A"/>
    <w:rsid w:val="00A03A05"/>
    <w:rsid w:val="00A03F94"/>
    <w:rsid w:val="00A056D1"/>
    <w:rsid w:val="00A06641"/>
    <w:rsid w:val="00A12381"/>
    <w:rsid w:val="00A12794"/>
    <w:rsid w:val="00A12A74"/>
    <w:rsid w:val="00A133AD"/>
    <w:rsid w:val="00A30828"/>
    <w:rsid w:val="00A309B4"/>
    <w:rsid w:val="00A313BB"/>
    <w:rsid w:val="00A33FE8"/>
    <w:rsid w:val="00A372CD"/>
    <w:rsid w:val="00A4059D"/>
    <w:rsid w:val="00A41E1D"/>
    <w:rsid w:val="00A41FD0"/>
    <w:rsid w:val="00A42EB6"/>
    <w:rsid w:val="00A43611"/>
    <w:rsid w:val="00A44708"/>
    <w:rsid w:val="00A456F5"/>
    <w:rsid w:val="00A54A14"/>
    <w:rsid w:val="00A560EB"/>
    <w:rsid w:val="00A61B77"/>
    <w:rsid w:val="00A627B4"/>
    <w:rsid w:val="00A6294F"/>
    <w:rsid w:val="00A63D1F"/>
    <w:rsid w:val="00A704D5"/>
    <w:rsid w:val="00A70D15"/>
    <w:rsid w:val="00A73D0E"/>
    <w:rsid w:val="00A77032"/>
    <w:rsid w:val="00A8333D"/>
    <w:rsid w:val="00A85457"/>
    <w:rsid w:val="00A856B2"/>
    <w:rsid w:val="00A921FD"/>
    <w:rsid w:val="00A93290"/>
    <w:rsid w:val="00A93B85"/>
    <w:rsid w:val="00A94CFD"/>
    <w:rsid w:val="00A94E9F"/>
    <w:rsid w:val="00A9749A"/>
    <w:rsid w:val="00A97A22"/>
    <w:rsid w:val="00AA2400"/>
    <w:rsid w:val="00AA6343"/>
    <w:rsid w:val="00AA7781"/>
    <w:rsid w:val="00AB25A9"/>
    <w:rsid w:val="00AB27C7"/>
    <w:rsid w:val="00AB59F8"/>
    <w:rsid w:val="00AB5A22"/>
    <w:rsid w:val="00AB6224"/>
    <w:rsid w:val="00AB687D"/>
    <w:rsid w:val="00AB7EBB"/>
    <w:rsid w:val="00AC24E3"/>
    <w:rsid w:val="00AC5B55"/>
    <w:rsid w:val="00AC6C0B"/>
    <w:rsid w:val="00AC792C"/>
    <w:rsid w:val="00AD0A5C"/>
    <w:rsid w:val="00AD229E"/>
    <w:rsid w:val="00AD6EAC"/>
    <w:rsid w:val="00AE1644"/>
    <w:rsid w:val="00AE37D8"/>
    <w:rsid w:val="00AE452A"/>
    <w:rsid w:val="00AE4731"/>
    <w:rsid w:val="00AE5FB4"/>
    <w:rsid w:val="00AE7F4C"/>
    <w:rsid w:val="00AF15FA"/>
    <w:rsid w:val="00AF46D9"/>
    <w:rsid w:val="00AF5397"/>
    <w:rsid w:val="00AF53EA"/>
    <w:rsid w:val="00B01220"/>
    <w:rsid w:val="00B06C55"/>
    <w:rsid w:val="00B10024"/>
    <w:rsid w:val="00B114F8"/>
    <w:rsid w:val="00B11C40"/>
    <w:rsid w:val="00B11EF5"/>
    <w:rsid w:val="00B12FB8"/>
    <w:rsid w:val="00B14775"/>
    <w:rsid w:val="00B14A91"/>
    <w:rsid w:val="00B1608E"/>
    <w:rsid w:val="00B16EA0"/>
    <w:rsid w:val="00B17C42"/>
    <w:rsid w:val="00B20593"/>
    <w:rsid w:val="00B222AE"/>
    <w:rsid w:val="00B22942"/>
    <w:rsid w:val="00B25851"/>
    <w:rsid w:val="00B270F7"/>
    <w:rsid w:val="00B27689"/>
    <w:rsid w:val="00B3121B"/>
    <w:rsid w:val="00B3319D"/>
    <w:rsid w:val="00B3589B"/>
    <w:rsid w:val="00B35C9A"/>
    <w:rsid w:val="00B40307"/>
    <w:rsid w:val="00B40309"/>
    <w:rsid w:val="00B4072B"/>
    <w:rsid w:val="00B41188"/>
    <w:rsid w:val="00B424A1"/>
    <w:rsid w:val="00B42886"/>
    <w:rsid w:val="00B44E14"/>
    <w:rsid w:val="00B44FB3"/>
    <w:rsid w:val="00B45E60"/>
    <w:rsid w:val="00B4760F"/>
    <w:rsid w:val="00B47CF1"/>
    <w:rsid w:val="00B47DC0"/>
    <w:rsid w:val="00B50107"/>
    <w:rsid w:val="00B511D0"/>
    <w:rsid w:val="00B512AA"/>
    <w:rsid w:val="00B56871"/>
    <w:rsid w:val="00B57B68"/>
    <w:rsid w:val="00B610D2"/>
    <w:rsid w:val="00B65418"/>
    <w:rsid w:val="00B6567A"/>
    <w:rsid w:val="00B65881"/>
    <w:rsid w:val="00B65F2E"/>
    <w:rsid w:val="00B706F4"/>
    <w:rsid w:val="00B73E70"/>
    <w:rsid w:val="00B7537E"/>
    <w:rsid w:val="00B7746C"/>
    <w:rsid w:val="00B81BFB"/>
    <w:rsid w:val="00B8383B"/>
    <w:rsid w:val="00B84B34"/>
    <w:rsid w:val="00B856BB"/>
    <w:rsid w:val="00B86C89"/>
    <w:rsid w:val="00B87547"/>
    <w:rsid w:val="00B92AC0"/>
    <w:rsid w:val="00B940A4"/>
    <w:rsid w:val="00B957E0"/>
    <w:rsid w:val="00B97B0F"/>
    <w:rsid w:val="00B97D6B"/>
    <w:rsid w:val="00BA2ADC"/>
    <w:rsid w:val="00BA3179"/>
    <w:rsid w:val="00BA4E84"/>
    <w:rsid w:val="00BA6498"/>
    <w:rsid w:val="00BB1918"/>
    <w:rsid w:val="00BB2603"/>
    <w:rsid w:val="00BB3276"/>
    <w:rsid w:val="00BB77AB"/>
    <w:rsid w:val="00BC1A42"/>
    <w:rsid w:val="00BC31BF"/>
    <w:rsid w:val="00BC3D84"/>
    <w:rsid w:val="00BC6208"/>
    <w:rsid w:val="00BC6DB0"/>
    <w:rsid w:val="00BC78C0"/>
    <w:rsid w:val="00BD0225"/>
    <w:rsid w:val="00BD4603"/>
    <w:rsid w:val="00BD5873"/>
    <w:rsid w:val="00BD5ACA"/>
    <w:rsid w:val="00BD5CC7"/>
    <w:rsid w:val="00BD7148"/>
    <w:rsid w:val="00BD73DE"/>
    <w:rsid w:val="00BD7610"/>
    <w:rsid w:val="00BE1735"/>
    <w:rsid w:val="00BE205F"/>
    <w:rsid w:val="00BE7661"/>
    <w:rsid w:val="00BE7CF6"/>
    <w:rsid w:val="00BF02FA"/>
    <w:rsid w:val="00BF04B4"/>
    <w:rsid w:val="00BF0726"/>
    <w:rsid w:val="00BF0E78"/>
    <w:rsid w:val="00BF2629"/>
    <w:rsid w:val="00BF27EF"/>
    <w:rsid w:val="00BF2844"/>
    <w:rsid w:val="00BF30A5"/>
    <w:rsid w:val="00C010E1"/>
    <w:rsid w:val="00C01871"/>
    <w:rsid w:val="00C025A0"/>
    <w:rsid w:val="00C05512"/>
    <w:rsid w:val="00C0658C"/>
    <w:rsid w:val="00C066EB"/>
    <w:rsid w:val="00C07F3A"/>
    <w:rsid w:val="00C112E6"/>
    <w:rsid w:val="00C12497"/>
    <w:rsid w:val="00C12508"/>
    <w:rsid w:val="00C12A60"/>
    <w:rsid w:val="00C13210"/>
    <w:rsid w:val="00C139B3"/>
    <w:rsid w:val="00C16649"/>
    <w:rsid w:val="00C176AC"/>
    <w:rsid w:val="00C17A37"/>
    <w:rsid w:val="00C17A5C"/>
    <w:rsid w:val="00C21872"/>
    <w:rsid w:val="00C2634E"/>
    <w:rsid w:val="00C27CEA"/>
    <w:rsid w:val="00C27E4F"/>
    <w:rsid w:val="00C30897"/>
    <w:rsid w:val="00C30CC5"/>
    <w:rsid w:val="00C33111"/>
    <w:rsid w:val="00C33AB0"/>
    <w:rsid w:val="00C33C9E"/>
    <w:rsid w:val="00C35314"/>
    <w:rsid w:val="00C363F1"/>
    <w:rsid w:val="00C408FD"/>
    <w:rsid w:val="00C42496"/>
    <w:rsid w:val="00C42C58"/>
    <w:rsid w:val="00C44DCB"/>
    <w:rsid w:val="00C45AD7"/>
    <w:rsid w:val="00C45CDC"/>
    <w:rsid w:val="00C463BC"/>
    <w:rsid w:val="00C477F3"/>
    <w:rsid w:val="00C50D16"/>
    <w:rsid w:val="00C55C92"/>
    <w:rsid w:val="00C56E2A"/>
    <w:rsid w:val="00C621EA"/>
    <w:rsid w:val="00C65B9D"/>
    <w:rsid w:val="00C66015"/>
    <w:rsid w:val="00C6610D"/>
    <w:rsid w:val="00C73A4C"/>
    <w:rsid w:val="00C73CB8"/>
    <w:rsid w:val="00C776C8"/>
    <w:rsid w:val="00C832F4"/>
    <w:rsid w:val="00C83FEB"/>
    <w:rsid w:val="00C91159"/>
    <w:rsid w:val="00C9209A"/>
    <w:rsid w:val="00C96B40"/>
    <w:rsid w:val="00CA43DA"/>
    <w:rsid w:val="00CA5034"/>
    <w:rsid w:val="00CA5E2A"/>
    <w:rsid w:val="00CA618B"/>
    <w:rsid w:val="00CA7543"/>
    <w:rsid w:val="00CB28A8"/>
    <w:rsid w:val="00CB4588"/>
    <w:rsid w:val="00CB4BB5"/>
    <w:rsid w:val="00CC2912"/>
    <w:rsid w:val="00CC2AE9"/>
    <w:rsid w:val="00CC4BBC"/>
    <w:rsid w:val="00CC68C0"/>
    <w:rsid w:val="00CD00F1"/>
    <w:rsid w:val="00CD2214"/>
    <w:rsid w:val="00CD2C78"/>
    <w:rsid w:val="00CD2D71"/>
    <w:rsid w:val="00CD2EC0"/>
    <w:rsid w:val="00CD3C3A"/>
    <w:rsid w:val="00CD3FC4"/>
    <w:rsid w:val="00CD50C9"/>
    <w:rsid w:val="00CD6270"/>
    <w:rsid w:val="00CD71B9"/>
    <w:rsid w:val="00CD7EFC"/>
    <w:rsid w:val="00CE1610"/>
    <w:rsid w:val="00CE265D"/>
    <w:rsid w:val="00CE7B55"/>
    <w:rsid w:val="00CF23B9"/>
    <w:rsid w:val="00CF2AB2"/>
    <w:rsid w:val="00CF55EA"/>
    <w:rsid w:val="00CF586E"/>
    <w:rsid w:val="00CF6448"/>
    <w:rsid w:val="00CF6BAE"/>
    <w:rsid w:val="00CF6CA2"/>
    <w:rsid w:val="00CF74F6"/>
    <w:rsid w:val="00D00377"/>
    <w:rsid w:val="00D0061A"/>
    <w:rsid w:val="00D00B30"/>
    <w:rsid w:val="00D0184A"/>
    <w:rsid w:val="00D04B1B"/>
    <w:rsid w:val="00D04EEF"/>
    <w:rsid w:val="00D05F9D"/>
    <w:rsid w:val="00D11252"/>
    <w:rsid w:val="00D13587"/>
    <w:rsid w:val="00D13EF3"/>
    <w:rsid w:val="00D20EE3"/>
    <w:rsid w:val="00D219CB"/>
    <w:rsid w:val="00D2203E"/>
    <w:rsid w:val="00D221DC"/>
    <w:rsid w:val="00D2470A"/>
    <w:rsid w:val="00D24B62"/>
    <w:rsid w:val="00D265D2"/>
    <w:rsid w:val="00D27FD4"/>
    <w:rsid w:val="00D30328"/>
    <w:rsid w:val="00D3102B"/>
    <w:rsid w:val="00D33753"/>
    <w:rsid w:val="00D34B64"/>
    <w:rsid w:val="00D355AE"/>
    <w:rsid w:val="00D3599A"/>
    <w:rsid w:val="00D363E1"/>
    <w:rsid w:val="00D3722F"/>
    <w:rsid w:val="00D408AF"/>
    <w:rsid w:val="00D418F8"/>
    <w:rsid w:val="00D43711"/>
    <w:rsid w:val="00D446CA"/>
    <w:rsid w:val="00D4695A"/>
    <w:rsid w:val="00D50F57"/>
    <w:rsid w:val="00D56172"/>
    <w:rsid w:val="00D57AE9"/>
    <w:rsid w:val="00D61DB7"/>
    <w:rsid w:val="00D6421E"/>
    <w:rsid w:val="00D644DC"/>
    <w:rsid w:val="00D6646C"/>
    <w:rsid w:val="00D6670B"/>
    <w:rsid w:val="00D66D86"/>
    <w:rsid w:val="00D71055"/>
    <w:rsid w:val="00D73744"/>
    <w:rsid w:val="00D74D34"/>
    <w:rsid w:val="00D75749"/>
    <w:rsid w:val="00D76446"/>
    <w:rsid w:val="00D844D5"/>
    <w:rsid w:val="00D845D5"/>
    <w:rsid w:val="00D87D8C"/>
    <w:rsid w:val="00D90981"/>
    <w:rsid w:val="00D95CF5"/>
    <w:rsid w:val="00D979F4"/>
    <w:rsid w:val="00DA1CD6"/>
    <w:rsid w:val="00DA303D"/>
    <w:rsid w:val="00DA32F5"/>
    <w:rsid w:val="00DA49FD"/>
    <w:rsid w:val="00DA7010"/>
    <w:rsid w:val="00DB2A5D"/>
    <w:rsid w:val="00DB705A"/>
    <w:rsid w:val="00DC17D9"/>
    <w:rsid w:val="00DD4BCC"/>
    <w:rsid w:val="00DD690B"/>
    <w:rsid w:val="00DE025C"/>
    <w:rsid w:val="00DE1962"/>
    <w:rsid w:val="00DE2F3F"/>
    <w:rsid w:val="00DE5D05"/>
    <w:rsid w:val="00DE6136"/>
    <w:rsid w:val="00DE7325"/>
    <w:rsid w:val="00DE77AB"/>
    <w:rsid w:val="00DE7904"/>
    <w:rsid w:val="00DF0462"/>
    <w:rsid w:val="00DF0A60"/>
    <w:rsid w:val="00DF20AD"/>
    <w:rsid w:val="00DF2391"/>
    <w:rsid w:val="00DF3F4A"/>
    <w:rsid w:val="00DF5273"/>
    <w:rsid w:val="00DF577D"/>
    <w:rsid w:val="00DF57A1"/>
    <w:rsid w:val="00DF62BE"/>
    <w:rsid w:val="00E0026F"/>
    <w:rsid w:val="00E00BC3"/>
    <w:rsid w:val="00E00F53"/>
    <w:rsid w:val="00E01CAC"/>
    <w:rsid w:val="00E026D8"/>
    <w:rsid w:val="00E03ACF"/>
    <w:rsid w:val="00E04AF5"/>
    <w:rsid w:val="00E1000B"/>
    <w:rsid w:val="00E13760"/>
    <w:rsid w:val="00E14066"/>
    <w:rsid w:val="00E14C4C"/>
    <w:rsid w:val="00E175B9"/>
    <w:rsid w:val="00E21195"/>
    <w:rsid w:val="00E21277"/>
    <w:rsid w:val="00E214A2"/>
    <w:rsid w:val="00E21EDB"/>
    <w:rsid w:val="00E24063"/>
    <w:rsid w:val="00E2415C"/>
    <w:rsid w:val="00E26894"/>
    <w:rsid w:val="00E3087C"/>
    <w:rsid w:val="00E31721"/>
    <w:rsid w:val="00E32EF6"/>
    <w:rsid w:val="00E33AD0"/>
    <w:rsid w:val="00E34B2F"/>
    <w:rsid w:val="00E412F4"/>
    <w:rsid w:val="00E41F13"/>
    <w:rsid w:val="00E436EC"/>
    <w:rsid w:val="00E50DF1"/>
    <w:rsid w:val="00E523A0"/>
    <w:rsid w:val="00E566E2"/>
    <w:rsid w:val="00E57731"/>
    <w:rsid w:val="00E607DC"/>
    <w:rsid w:val="00E63BC8"/>
    <w:rsid w:val="00E66C10"/>
    <w:rsid w:val="00E66D9B"/>
    <w:rsid w:val="00E67124"/>
    <w:rsid w:val="00E70B5F"/>
    <w:rsid w:val="00E73DC5"/>
    <w:rsid w:val="00E7466A"/>
    <w:rsid w:val="00E75766"/>
    <w:rsid w:val="00E8043E"/>
    <w:rsid w:val="00E8339B"/>
    <w:rsid w:val="00E91E4B"/>
    <w:rsid w:val="00E9243E"/>
    <w:rsid w:val="00E9362E"/>
    <w:rsid w:val="00E96A43"/>
    <w:rsid w:val="00EA1667"/>
    <w:rsid w:val="00EA21DE"/>
    <w:rsid w:val="00EB281D"/>
    <w:rsid w:val="00EB2BF2"/>
    <w:rsid w:val="00EB31C3"/>
    <w:rsid w:val="00EB799D"/>
    <w:rsid w:val="00EC0ECF"/>
    <w:rsid w:val="00EC0F9A"/>
    <w:rsid w:val="00EC4824"/>
    <w:rsid w:val="00EC5403"/>
    <w:rsid w:val="00EC5E7D"/>
    <w:rsid w:val="00EC644D"/>
    <w:rsid w:val="00ED2945"/>
    <w:rsid w:val="00ED2979"/>
    <w:rsid w:val="00ED436C"/>
    <w:rsid w:val="00ED7DAA"/>
    <w:rsid w:val="00EE2664"/>
    <w:rsid w:val="00EE498E"/>
    <w:rsid w:val="00EE4ADC"/>
    <w:rsid w:val="00EE5F30"/>
    <w:rsid w:val="00EE6CF2"/>
    <w:rsid w:val="00EE78CF"/>
    <w:rsid w:val="00EF2DC9"/>
    <w:rsid w:val="00EF3DC0"/>
    <w:rsid w:val="00EF4226"/>
    <w:rsid w:val="00EF65F0"/>
    <w:rsid w:val="00EF7698"/>
    <w:rsid w:val="00F00BC8"/>
    <w:rsid w:val="00F01384"/>
    <w:rsid w:val="00F02D3F"/>
    <w:rsid w:val="00F02FF1"/>
    <w:rsid w:val="00F0483C"/>
    <w:rsid w:val="00F06A76"/>
    <w:rsid w:val="00F07220"/>
    <w:rsid w:val="00F074D9"/>
    <w:rsid w:val="00F115E3"/>
    <w:rsid w:val="00F126F8"/>
    <w:rsid w:val="00F13679"/>
    <w:rsid w:val="00F14369"/>
    <w:rsid w:val="00F14B27"/>
    <w:rsid w:val="00F172F0"/>
    <w:rsid w:val="00F21127"/>
    <w:rsid w:val="00F21912"/>
    <w:rsid w:val="00F22F70"/>
    <w:rsid w:val="00F25DFD"/>
    <w:rsid w:val="00F267F1"/>
    <w:rsid w:val="00F30E43"/>
    <w:rsid w:val="00F324E2"/>
    <w:rsid w:val="00F36C0A"/>
    <w:rsid w:val="00F37A1F"/>
    <w:rsid w:val="00F40083"/>
    <w:rsid w:val="00F468C8"/>
    <w:rsid w:val="00F46E31"/>
    <w:rsid w:val="00F509BE"/>
    <w:rsid w:val="00F55496"/>
    <w:rsid w:val="00F564AA"/>
    <w:rsid w:val="00F57448"/>
    <w:rsid w:val="00F60075"/>
    <w:rsid w:val="00F602B2"/>
    <w:rsid w:val="00F62E2C"/>
    <w:rsid w:val="00F6316E"/>
    <w:rsid w:val="00F637EC"/>
    <w:rsid w:val="00F641EF"/>
    <w:rsid w:val="00F6589C"/>
    <w:rsid w:val="00F703F1"/>
    <w:rsid w:val="00F70D24"/>
    <w:rsid w:val="00F714BF"/>
    <w:rsid w:val="00F71A7A"/>
    <w:rsid w:val="00F730B2"/>
    <w:rsid w:val="00F73710"/>
    <w:rsid w:val="00F741C7"/>
    <w:rsid w:val="00F76909"/>
    <w:rsid w:val="00F82B83"/>
    <w:rsid w:val="00F8380D"/>
    <w:rsid w:val="00F85EA6"/>
    <w:rsid w:val="00F8626A"/>
    <w:rsid w:val="00F87065"/>
    <w:rsid w:val="00F876BF"/>
    <w:rsid w:val="00F904F5"/>
    <w:rsid w:val="00F9192C"/>
    <w:rsid w:val="00F9313F"/>
    <w:rsid w:val="00F944DA"/>
    <w:rsid w:val="00F9497B"/>
    <w:rsid w:val="00F94B4D"/>
    <w:rsid w:val="00F9617E"/>
    <w:rsid w:val="00F962F6"/>
    <w:rsid w:val="00F96F2F"/>
    <w:rsid w:val="00F97435"/>
    <w:rsid w:val="00F974F9"/>
    <w:rsid w:val="00F97B09"/>
    <w:rsid w:val="00FA0DF7"/>
    <w:rsid w:val="00FA3F9B"/>
    <w:rsid w:val="00FA540E"/>
    <w:rsid w:val="00FA67C5"/>
    <w:rsid w:val="00FB0FAA"/>
    <w:rsid w:val="00FB146A"/>
    <w:rsid w:val="00FB20D2"/>
    <w:rsid w:val="00FB254C"/>
    <w:rsid w:val="00FB2C47"/>
    <w:rsid w:val="00FB40EB"/>
    <w:rsid w:val="00FB6C7A"/>
    <w:rsid w:val="00FC049C"/>
    <w:rsid w:val="00FC1FDF"/>
    <w:rsid w:val="00FC3DEA"/>
    <w:rsid w:val="00FC44AA"/>
    <w:rsid w:val="00FC54ED"/>
    <w:rsid w:val="00FC55C9"/>
    <w:rsid w:val="00FC5B3B"/>
    <w:rsid w:val="00FC72C5"/>
    <w:rsid w:val="00FD036E"/>
    <w:rsid w:val="00FD0E2D"/>
    <w:rsid w:val="00FD3154"/>
    <w:rsid w:val="00FD3157"/>
    <w:rsid w:val="00FD3F57"/>
    <w:rsid w:val="00FD4ADB"/>
    <w:rsid w:val="00FD4E1D"/>
    <w:rsid w:val="00FE0238"/>
    <w:rsid w:val="00FE03C4"/>
    <w:rsid w:val="00FE1F44"/>
    <w:rsid w:val="00FE5E31"/>
    <w:rsid w:val="00FF0F4A"/>
    <w:rsid w:val="00FF2E57"/>
    <w:rsid w:val="00FF4C4B"/>
    <w:rsid w:val="00FF5220"/>
    <w:rsid w:val="00FF56BF"/>
    <w:rsid w:val="00FF726D"/>
    <w:rsid w:val="00FF7DF9"/>
    <w:rsid w:val="5DCF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semiHidden="0" w:name="index 1"/>
    <w:lsdException w:uiPriority="99" w:semiHidden="0" w:name="index 2"/>
    <w:lsdException w:uiPriority="99" w:semiHidden="0" w:name="index 3"/>
    <w:lsdException w:uiPriority="99" w:semiHidden="0" w:name="index 4"/>
    <w:lsdException w:uiPriority="99" w:semiHidden="0" w:name="index 5"/>
    <w:lsdException w:uiPriority="99" w:semiHidden="0" w:name="index 6"/>
    <w:lsdException w:uiPriority="99" w:semiHidden="0" w:name="index 7"/>
    <w:lsdException w:uiPriority="99" w:semiHidden="0" w:name="index 8"/>
    <w:lsdException w:uiPriority="99" w:semiHidden="0"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semiHidden="0"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iPriority="6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iPriority="6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GB" w:bidi="ar-SA"/>
    </w:rPr>
  </w:style>
  <w:style w:type="paragraph" w:styleId="2">
    <w:name w:val="heading 1"/>
    <w:basedOn w:val="1"/>
    <w:next w:val="1"/>
    <w:link w:val="42"/>
    <w:qFormat/>
    <w:uiPriority w:val="9"/>
    <w:pPr>
      <w:keepNext/>
      <w:spacing w:before="100" w:beforeAutospacing="1" w:after="100" w:afterAutospacing="1"/>
      <w:outlineLvl w:val="0"/>
    </w:pPr>
    <w:rPr>
      <w:bCs/>
      <w:kern w:val="32"/>
      <w:sz w:val="32"/>
      <w:szCs w:val="32"/>
      <w:lang w:val="sr-Latn-RS" w:eastAsia="en-US"/>
    </w:rPr>
  </w:style>
  <w:style w:type="paragraph" w:styleId="3">
    <w:name w:val="heading 2"/>
    <w:basedOn w:val="1"/>
    <w:next w:val="1"/>
    <w:link w:val="46"/>
    <w:unhideWhenUsed/>
    <w:qFormat/>
    <w:uiPriority w:val="9"/>
    <w:pPr>
      <w:keepNext/>
      <w:spacing w:before="120" w:after="120" w:line="276" w:lineRule="auto"/>
      <w:outlineLvl w:val="1"/>
    </w:pPr>
    <w:rPr>
      <w:rFonts w:ascii="Arial" w:hAnsi="Arial" w:cs="Arial"/>
      <w:b/>
      <w:bCs/>
      <w:color w:val="000000" w:themeColor="text1"/>
      <w:lang w:val="sr-Cyrl-RS" w:eastAsia="en-US"/>
      <w14:textFill>
        <w14:solidFill>
          <w14:schemeClr w14:val="tx1"/>
        </w14:solidFill>
      </w14:textFill>
    </w:rPr>
  </w:style>
  <w:style w:type="paragraph" w:styleId="4">
    <w:name w:val="heading 3"/>
    <w:basedOn w:val="1"/>
    <w:next w:val="1"/>
    <w:link w:val="48"/>
    <w:unhideWhenUsed/>
    <w:qFormat/>
    <w:uiPriority w:val="9"/>
    <w:pPr>
      <w:keepNext/>
      <w:spacing w:before="240" w:beforeAutospacing="1" w:after="60" w:afterAutospacing="1"/>
      <w:outlineLvl w:val="2"/>
    </w:pPr>
    <w:rPr>
      <w:b/>
      <w:bCs/>
      <w:i/>
      <w:szCs w:val="26"/>
      <w:lang w:val="sr-Latn-RS" w:eastAsia="en-US"/>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character" w:styleId="8">
    <w:name w:val="annotation reference"/>
    <w:basedOn w:val="5"/>
    <w:semiHidden/>
    <w:unhideWhenUsed/>
    <w:uiPriority w:val="99"/>
    <w:rPr>
      <w:sz w:val="16"/>
      <w:szCs w:val="16"/>
    </w:rPr>
  </w:style>
  <w:style w:type="paragraph" w:styleId="9">
    <w:name w:val="annotation text"/>
    <w:basedOn w:val="1"/>
    <w:link w:val="70"/>
    <w:semiHidden/>
    <w:unhideWhenUsed/>
    <w:uiPriority w:val="99"/>
    <w:rPr>
      <w:sz w:val="20"/>
      <w:szCs w:val="20"/>
    </w:rPr>
  </w:style>
  <w:style w:type="paragraph" w:styleId="10">
    <w:name w:val="annotation subject"/>
    <w:basedOn w:val="9"/>
    <w:next w:val="9"/>
    <w:link w:val="71"/>
    <w:semiHidden/>
    <w:unhideWhenUsed/>
    <w:uiPriority w:val="99"/>
    <w:rPr>
      <w:b/>
      <w:bCs/>
    </w:rPr>
  </w:style>
  <w:style w:type="character" w:styleId="11">
    <w:name w:val="FollowedHyperlink"/>
    <w:basedOn w:val="5"/>
    <w:semiHidden/>
    <w:unhideWhenUsed/>
    <w:uiPriority w:val="99"/>
    <w:rPr>
      <w:color w:val="954F72" w:themeColor="followedHyperlink"/>
      <w:u w:val="single"/>
      <w14:textFill>
        <w14:solidFill>
          <w14:schemeClr w14:val="folHlink"/>
        </w14:solidFill>
      </w14:textFill>
    </w:rPr>
  </w:style>
  <w:style w:type="paragraph" w:styleId="12">
    <w:name w:val="footer"/>
    <w:basedOn w:val="1"/>
    <w:link w:val="44"/>
    <w:unhideWhenUsed/>
    <w:qFormat/>
    <w:uiPriority w:val="99"/>
    <w:pPr>
      <w:tabs>
        <w:tab w:val="center" w:pos="4536"/>
        <w:tab w:val="right" w:pos="9072"/>
      </w:tabs>
      <w:spacing w:before="100" w:beforeAutospacing="1" w:after="100" w:afterAutospacing="1"/>
    </w:pPr>
    <w:rPr>
      <w:rFonts w:eastAsia="Calibri"/>
      <w:szCs w:val="22"/>
      <w:lang w:val="sr-Latn-RS" w:eastAsia="en-US"/>
    </w:rPr>
  </w:style>
  <w:style w:type="character" w:styleId="13">
    <w:name w:val="footnote reference"/>
    <w:semiHidden/>
    <w:unhideWhenUsed/>
    <w:uiPriority w:val="99"/>
    <w:rPr>
      <w:vertAlign w:val="superscript"/>
    </w:rPr>
  </w:style>
  <w:style w:type="paragraph" w:styleId="14">
    <w:name w:val="footnote text"/>
    <w:basedOn w:val="1"/>
    <w:link w:val="45"/>
    <w:semiHidden/>
    <w:unhideWhenUsed/>
    <w:qFormat/>
    <w:uiPriority w:val="99"/>
    <w:pPr>
      <w:spacing w:before="100" w:beforeAutospacing="1" w:after="100" w:afterAutospacing="1"/>
    </w:pPr>
    <w:rPr>
      <w:rFonts w:eastAsia="Calibri"/>
      <w:sz w:val="20"/>
      <w:szCs w:val="20"/>
      <w:lang w:val="sr-Latn-RS" w:eastAsia="en-US"/>
    </w:rPr>
  </w:style>
  <w:style w:type="paragraph" w:styleId="15">
    <w:name w:val="header"/>
    <w:basedOn w:val="1"/>
    <w:link w:val="43"/>
    <w:unhideWhenUsed/>
    <w:qFormat/>
    <w:uiPriority w:val="99"/>
    <w:pPr>
      <w:tabs>
        <w:tab w:val="center" w:pos="4536"/>
        <w:tab w:val="right" w:pos="9072"/>
      </w:tabs>
      <w:spacing w:before="100" w:beforeAutospacing="1" w:after="100" w:afterAutospacing="1"/>
    </w:pPr>
    <w:rPr>
      <w:rFonts w:eastAsia="Calibri"/>
      <w:szCs w:val="22"/>
      <w:lang w:val="sr-Latn-RS" w:eastAsia="en-US"/>
    </w:rPr>
  </w:style>
  <w:style w:type="paragraph" w:styleId="16">
    <w:name w:val="HTML Preformatted"/>
    <w:basedOn w:val="1"/>
    <w:link w:val="53"/>
    <w:semiHidden/>
    <w:unhideWhenUsed/>
    <w:uiPriority w:val="99"/>
    <w:rPr>
      <w:rFonts w:ascii="Consolas" w:hAnsi="Consolas"/>
      <w:sz w:val="20"/>
      <w:szCs w:val="20"/>
    </w:rPr>
  </w:style>
  <w:style w:type="character" w:styleId="17">
    <w:name w:val="Hyperlink"/>
    <w:unhideWhenUsed/>
    <w:uiPriority w:val="99"/>
    <w:rPr>
      <w:color w:val="0000FF"/>
      <w:u w:val="single"/>
    </w:rPr>
  </w:style>
  <w:style w:type="paragraph" w:styleId="18">
    <w:name w:val="index 1"/>
    <w:basedOn w:val="1"/>
    <w:next w:val="1"/>
    <w:unhideWhenUsed/>
    <w:uiPriority w:val="99"/>
    <w:pPr>
      <w:ind w:left="240" w:hanging="240"/>
    </w:pPr>
    <w:rPr>
      <w:rFonts w:asciiTheme="minorHAnsi" w:hAnsiTheme="minorHAnsi" w:cstheme="minorHAnsi"/>
      <w:sz w:val="18"/>
      <w:szCs w:val="18"/>
    </w:rPr>
  </w:style>
  <w:style w:type="paragraph" w:styleId="19">
    <w:name w:val="index 2"/>
    <w:basedOn w:val="1"/>
    <w:next w:val="1"/>
    <w:unhideWhenUsed/>
    <w:uiPriority w:val="99"/>
    <w:pPr>
      <w:ind w:left="480" w:hanging="240"/>
    </w:pPr>
    <w:rPr>
      <w:rFonts w:asciiTheme="minorHAnsi" w:hAnsiTheme="minorHAnsi" w:cstheme="minorHAnsi"/>
      <w:sz w:val="18"/>
      <w:szCs w:val="18"/>
    </w:rPr>
  </w:style>
  <w:style w:type="paragraph" w:styleId="20">
    <w:name w:val="index 3"/>
    <w:basedOn w:val="1"/>
    <w:next w:val="1"/>
    <w:unhideWhenUsed/>
    <w:uiPriority w:val="99"/>
    <w:pPr>
      <w:ind w:left="720" w:hanging="240"/>
    </w:pPr>
    <w:rPr>
      <w:rFonts w:asciiTheme="minorHAnsi" w:hAnsiTheme="minorHAnsi" w:cstheme="minorHAnsi"/>
      <w:sz w:val="18"/>
      <w:szCs w:val="18"/>
    </w:rPr>
  </w:style>
  <w:style w:type="paragraph" w:styleId="21">
    <w:name w:val="index 4"/>
    <w:basedOn w:val="1"/>
    <w:next w:val="1"/>
    <w:unhideWhenUsed/>
    <w:uiPriority w:val="99"/>
    <w:pPr>
      <w:ind w:left="960" w:hanging="240"/>
    </w:pPr>
    <w:rPr>
      <w:rFonts w:asciiTheme="minorHAnsi" w:hAnsiTheme="minorHAnsi" w:cstheme="minorHAnsi"/>
      <w:sz w:val="18"/>
      <w:szCs w:val="18"/>
    </w:rPr>
  </w:style>
  <w:style w:type="paragraph" w:styleId="22">
    <w:name w:val="index 5"/>
    <w:basedOn w:val="1"/>
    <w:next w:val="1"/>
    <w:unhideWhenUsed/>
    <w:uiPriority w:val="99"/>
    <w:pPr>
      <w:ind w:left="1200" w:hanging="240"/>
    </w:pPr>
    <w:rPr>
      <w:rFonts w:asciiTheme="minorHAnsi" w:hAnsiTheme="minorHAnsi" w:cstheme="minorHAnsi"/>
      <w:sz w:val="18"/>
      <w:szCs w:val="18"/>
    </w:rPr>
  </w:style>
  <w:style w:type="paragraph" w:styleId="23">
    <w:name w:val="index 6"/>
    <w:basedOn w:val="1"/>
    <w:next w:val="1"/>
    <w:unhideWhenUsed/>
    <w:uiPriority w:val="99"/>
    <w:pPr>
      <w:ind w:left="1440" w:hanging="240"/>
    </w:pPr>
    <w:rPr>
      <w:rFonts w:asciiTheme="minorHAnsi" w:hAnsiTheme="minorHAnsi" w:cstheme="minorHAnsi"/>
      <w:sz w:val="18"/>
      <w:szCs w:val="18"/>
    </w:rPr>
  </w:style>
  <w:style w:type="paragraph" w:styleId="24">
    <w:name w:val="index 7"/>
    <w:basedOn w:val="1"/>
    <w:next w:val="1"/>
    <w:unhideWhenUsed/>
    <w:uiPriority w:val="99"/>
    <w:pPr>
      <w:ind w:left="1680" w:hanging="240"/>
    </w:pPr>
    <w:rPr>
      <w:rFonts w:asciiTheme="minorHAnsi" w:hAnsiTheme="minorHAnsi" w:cstheme="minorHAnsi"/>
      <w:sz w:val="18"/>
      <w:szCs w:val="18"/>
    </w:rPr>
  </w:style>
  <w:style w:type="paragraph" w:styleId="25">
    <w:name w:val="index 8"/>
    <w:basedOn w:val="1"/>
    <w:next w:val="1"/>
    <w:unhideWhenUsed/>
    <w:uiPriority w:val="99"/>
    <w:pPr>
      <w:ind w:left="1920" w:hanging="240"/>
    </w:pPr>
    <w:rPr>
      <w:rFonts w:asciiTheme="minorHAnsi" w:hAnsiTheme="minorHAnsi" w:cstheme="minorHAnsi"/>
      <w:sz w:val="18"/>
      <w:szCs w:val="18"/>
    </w:rPr>
  </w:style>
  <w:style w:type="paragraph" w:styleId="26">
    <w:name w:val="index 9"/>
    <w:basedOn w:val="1"/>
    <w:next w:val="1"/>
    <w:unhideWhenUsed/>
    <w:uiPriority w:val="99"/>
    <w:pPr>
      <w:ind w:left="2160" w:hanging="240"/>
    </w:pPr>
    <w:rPr>
      <w:rFonts w:asciiTheme="minorHAnsi" w:hAnsiTheme="minorHAnsi" w:cstheme="minorHAnsi"/>
      <w:sz w:val="18"/>
      <w:szCs w:val="18"/>
    </w:rPr>
  </w:style>
  <w:style w:type="paragraph" w:styleId="27">
    <w:name w:val="index heading"/>
    <w:basedOn w:val="1"/>
    <w:next w:val="18"/>
    <w:unhideWhenUsed/>
    <w:uiPriority w:val="99"/>
    <w:pPr>
      <w:spacing w:before="240" w:after="120"/>
      <w:jc w:val="center"/>
    </w:pPr>
    <w:rPr>
      <w:rFonts w:asciiTheme="minorHAnsi" w:hAnsiTheme="minorHAnsi" w:cstheme="minorHAnsi"/>
      <w:b/>
      <w:bCs/>
      <w:sz w:val="26"/>
      <w:szCs w:val="26"/>
    </w:rPr>
  </w:style>
  <w:style w:type="paragraph" w:styleId="28">
    <w:name w:val="Normal (Web)"/>
    <w:basedOn w:val="1"/>
    <w:unhideWhenUsed/>
    <w:uiPriority w:val="99"/>
    <w:pPr>
      <w:spacing w:before="100" w:beforeAutospacing="1" w:after="100" w:afterAutospacing="1"/>
    </w:pPr>
  </w:style>
  <w:style w:type="character" w:styleId="29">
    <w:name w:val="Strong"/>
    <w:basedOn w:val="5"/>
    <w:qFormat/>
    <w:uiPriority w:val="22"/>
    <w:rPr>
      <w:b/>
      <w:bCs/>
    </w:rPr>
  </w:style>
  <w:style w:type="table" w:styleId="30">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
    <w:name w:val="toc 1"/>
    <w:basedOn w:val="1"/>
    <w:next w:val="1"/>
    <w:unhideWhenUsed/>
    <w:uiPriority w:val="39"/>
    <w:pPr>
      <w:spacing w:before="360"/>
    </w:pPr>
    <w:rPr>
      <w:rFonts w:asciiTheme="majorHAnsi" w:hAnsiTheme="majorHAnsi" w:cstheme="majorHAnsi"/>
      <w:b/>
      <w:bCs/>
      <w:caps/>
    </w:rPr>
  </w:style>
  <w:style w:type="paragraph" w:styleId="32">
    <w:name w:val="toc 2"/>
    <w:basedOn w:val="1"/>
    <w:next w:val="1"/>
    <w:unhideWhenUsed/>
    <w:uiPriority w:val="39"/>
    <w:pPr>
      <w:spacing w:before="240"/>
    </w:pPr>
    <w:rPr>
      <w:rFonts w:asciiTheme="minorHAnsi" w:hAnsiTheme="minorHAnsi" w:cstheme="minorHAnsi"/>
      <w:b/>
      <w:bCs/>
      <w:sz w:val="20"/>
      <w:szCs w:val="20"/>
    </w:rPr>
  </w:style>
  <w:style w:type="paragraph" w:styleId="33">
    <w:name w:val="toc 3"/>
    <w:basedOn w:val="1"/>
    <w:next w:val="1"/>
    <w:unhideWhenUsed/>
    <w:uiPriority w:val="39"/>
    <w:pPr>
      <w:ind w:left="240"/>
    </w:pPr>
    <w:rPr>
      <w:rFonts w:asciiTheme="minorHAnsi" w:hAnsiTheme="minorHAnsi" w:cstheme="minorHAnsi"/>
      <w:sz w:val="20"/>
      <w:szCs w:val="20"/>
    </w:rPr>
  </w:style>
  <w:style w:type="paragraph" w:styleId="34">
    <w:name w:val="toc 4"/>
    <w:basedOn w:val="1"/>
    <w:next w:val="1"/>
    <w:unhideWhenUsed/>
    <w:uiPriority w:val="39"/>
    <w:pPr>
      <w:ind w:left="480"/>
    </w:pPr>
    <w:rPr>
      <w:rFonts w:asciiTheme="minorHAnsi" w:hAnsiTheme="minorHAnsi" w:cstheme="minorHAnsi"/>
      <w:sz w:val="20"/>
      <w:szCs w:val="20"/>
    </w:rPr>
  </w:style>
  <w:style w:type="paragraph" w:styleId="35">
    <w:name w:val="toc 5"/>
    <w:basedOn w:val="1"/>
    <w:next w:val="1"/>
    <w:unhideWhenUsed/>
    <w:uiPriority w:val="39"/>
    <w:pPr>
      <w:ind w:left="720"/>
    </w:pPr>
    <w:rPr>
      <w:rFonts w:asciiTheme="minorHAnsi" w:hAnsiTheme="minorHAnsi" w:cstheme="minorHAnsi"/>
      <w:sz w:val="20"/>
      <w:szCs w:val="20"/>
    </w:rPr>
  </w:style>
  <w:style w:type="paragraph" w:styleId="36">
    <w:name w:val="toc 6"/>
    <w:basedOn w:val="1"/>
    <w:next w:val="1"/>
    <w:unhideWhenUsed/>
    <w:uiPriority w:val="39"/>
    <w:pPr>
      <w:ind w:left="960"/>
    </w:pPr>
    <w:rPr>
      <w:rFonts w:asciiTheme="minorHAnsi" w:hAnsiTheme="minorHAnsi" w:cstheme="minorHAnsi"/>
      <w:sz w:val="20"/>
      <w:szCs w:val="20"/>
    </w:rPr>
  </w:style>
  <w:style w:type="paragraph" w:styleId="37">
    <w:name w:val="toc 7"/>
    <w:basedOn w:val="1"/>
    <w:next w:val="1"/>
    <w:unhideWhenUsed/>
    <w:uiPriority w:val="39"/>
    <w:pPr>
      <w:ind w:left="1200"/>
    </w:pPr>
    <w:rPr>
      <w:rFonts w:asciiTheme="minorHAnsi" w:hAnsiTheme="minorHAnsi" w:cstheme="minorHAnsi"/>
      <w:sz w:val="20"/>
      <w:szCs w:val="20"/>
    </w:rPr>
  </w:style>
  <w:style w:type="paragraph" w:styleId="38">
    <w:name w:val="toc 8"/>
    <w:basedOn w:val="1"/>
    <w:next w:val="1"/>
    <w:unhideWhenUsed/>
    <w:uiPriority w:val="39"/>
    <w:pPr>
      <w:ind w:left="1440"/>
    </w:pPr>
    <w:rPr>
      <w:rFonts w:asciiTheme="minorHAnsi" w:hAnsiTheme="minorHAnsi" w:cstheme="minorHAnsi"/>
      <w:sz w:val="20"/>
      <w:szCs w:val="20"/>
    </w:rPr>
  </w:style>
  <w:style w:type="paragraph" w:styleId="39">
    <w:name w:val="toc 9"/>
    <w:basedOn w:val="1"/>
    <w:next w:val="1"/>
    <w:unhideWhenUsed/>
    <w:uiPriority w:val="39"/>
    <w:pPr>
      <w:ind w:left="1680"/>
    </w:pPr>
    <w:rPr>
      <w:rFonts w:asciiTheme="minorHAnsi" w:hAnsiTheme="minorHAnsi" w:cstheme="minorHAnsi"/>
      <w:sz w:val="20"/>
      <w:szCs w:val="20"/>
    </w:rPr>
  </w:style>
  <w:style w:type="table" w:styleId="40">
    <w:name w:val="Light Shading Accent 2"/>
    <w:basedOn w:val="6"/>
    <w:semiHidden/>
    <w:unhideWhenUsed/>
    <w:uiPriority w:val="60"/>
    <w:rPr>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41">
    <w:name w:val="Light Shading Accent 3"/>
    <w:basedOn w:val="6"/>
    <w:semiHidden/>
    <w:unhideWhenUsed/>
    <w:uiPriority w:val="60"/>
    <w:rPr>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42">
    <w:name w:val="Heading 1 Char"/>
    <w:link w:val="2"/>
    <w:qFormat/>
    <w:uiPriority w:val="9"/>
    <w:rPr>
      <w:rFonts w:ascii="Avenir Book" w:hAnsi="Avenir Book" w:eastAsia="Times New Roman"/>
      <w:bCs/>
      <w:kern w:val="32"/>
      <w:sz w:val="32"/>
      <w:szCs w:val="32"/>
      <w:lang w:val="sr-Latn-RS" w:eastAsia="en-US"/>
    </w:rPr>
  </w:style>
  <w:style w:type="character" w:customStyle="1" w:styleId="43">
    <w:name w:val="Header Char"/>
    <w:link w:val="15"/>
    <w:qFormat/>
    <w:uiPriority w:val="99"/>
    <w:rPr>
      <w:sz w:val="24"/>
      <w:szCs w:val="22"/>
      <w:lang w:eastAsia="en-US"/>
    </w:rPr>
  </w:style>
  <w:style w:type="character" w:customStyle="1" w:styleId="44">
    <w:name w:val="Footer Char"/>
    <w:link w:val="12"/>
    <w:qFormat/>
    <w:uiPriority w:val="99"/>
    <w:rPr>
      <w:sz w:val="24"/>
      <w:szCs w:val="22"/>
      <w:lang w:eastAsia="en-US"/>
    </w:rPr>
  </w:style>
  <w:style w:type="character" w:customStyle="1" w:styleId="45">
    <w:name w:val="Footnote Text Char"/>
    <w:link w:val="14"/>
    <w:semiHidden/>
    <w:qFormat/>
    <w:uiPriority w:val="99"/>
    <w:rPr>
      <w:lang w:eastAsia="en-US"/>
    </w:rPr>
  </w:style>
  <w:style w:type="character" w:customStyle="1" w:styleId="46">
    <w:name w:val="Heading 2 Char"/>
    <w:link w:val="3"/>
    <w:uiPriority w:val="9"/>
    <w:rPr>
      <w:rFonts w:ascii="Arial" w:hAnsi="Arial" w:eastAsia="Times New Roman" w:cs="Arial"/>
      <w:b/>
      <w:bCs/>
      <w:color w:val="000000" w:themeColor="text1"/>
      <w:sz w:val="24"/>
      <w:szCs w:val="24"/>
      <w:lang w:val="sr-Cyrl-RS" w:eastAsia="en-US"/>
      <w14:textFill>
        <w14:solidFill>
          <w14:schemeClr w14:val="tx1"/>
        </w14:solidFill>
      </w14:textFill>
    </w:rPr>
  </w:style>
  <w:style w:type="paragraph" w:customStyle="1" w:styleId="47">
    <w:name w:val="TOC Heading"/>
    <w:basedOn w:val="2"/>
    <w:next w:val="1"/>
    <w:unhideWhenUsed/>
    <w:qFormat/>
    <w:uiPriority w:val="39"/>
    <w:pPr>
      <w:keepLines/>
      <w:spacing w:before="480" w:beforeAutospacing="0" w:after="0" w:afterAutospacing="0" w:line="276" w:lineRule="auto"/>
      <w:outlineLvl w:val="9"/>
    </w:pPr>
    <w:rPr>
      <w:rFonts w:ascii="Cambria" w:hAnsi="Cambria" w:eastAsia="MS Gothic"/>
      <w:color w:val="365F91"/>
      <w:kern w:val="0"/>
      <w:szCs w:val="28"/>
      <w:lang w:val="en-US" w:eastAsia="ja-JP"/>
    </w:rPr>
  </w:style>
  <w:style w:type="character" w:customStyle="1" w:styleId="48">
    <w:name w:val="Heading 3 Char"/>
    <w:link w:val="4"/>
    <w:uiPriority w:val="9"/>
    <w:rPr>
      <w:rFonts w:eastAsia="Times New Roman" w:cs="Times New Roman"/>
      <w:b/>
      <w:bCs/>
      <w:i/>
      <w:sz w:val="24"/>
      <w:szCs w:val="26"/>
      <w:lang w:eastAsia="en-US"/>
    </w:rPr>
  </w:style>
  <w:style w:type="character" w:customStyle="1" w:styleId="49">
    <w:name w:val="Unresolved Mention"/>
    <w:basedOn w:val="5"/>
    <w:semiHidden/>
    <w:unhideWhenUsed/>
    <w:uiPriority w:val="99"/>
    <w:rPr>
      <w:color w:val="605E5C"/>
      <w:shd w:val="clear" w:color="auto" w:fill="E1DFDD"/>
    </w:rPr>
  </w:style>
  <w:style w:type="table" w:customStyle="1" w:styleId="50">
    <w:name w:val="Grid Table 1 Light"/>
    <w:basedOn w:val="6"/>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styleId="51">
    <w:name w:val="List Paragraph"/>
    <w:basedOn w:val="1"/>
    <w:link w:val="68"/>
    <w:qFormat/>
    <w:uiPriority w:val="34"/>
    <w:pPr>
      <w:ind w:left="720"/>
      <w:contextualSpacing/>
    </w:pPr>
  </w:style>
  <w:style w:type="table" w:customStyle="1" w:styleId="52">
    <w:name w:val="Table Grid1"/>
    <w:basedOn w:val="6"/>
    <w:uiPriority w:val="39"/>
    <w:pPr>
      <w:spacing w:after="200" w:line="276" w:lineRule="auto"/>
    </w:pPr>
    <w:rPr>
      <w:rFonts w:asciiTheme="minorHAnsi" w:hAnsiTheme="minorHAnsi" w:eastAsiaTheme="minorEastAsia"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HTML Preformatted Char"/>
    <w:basedOn w:val="5"/>
    <w:link w:val="16"/>
    <w:semiHidden/>
    <w:uiPriority w:val="99"/>
    <w:rPr>
      <w:rFonts w:ascii="Consolas" w:hAnsi="Consolas" w:eastAsia="Times New Roman"/>
    </w:rPr>
  </w:style>
  <w:style w:type="paragraph" w:customStyle="1" w:styleId="54">
    <w:name w:val="Normal1"/>
    <w:uiPriority w:val="0"/>
    <w:pPr>
      <w:spacing w:after="160" w:line="276" w:lineRule="auto"/>
      <w:jc w:val="both"/>
    </w:pPr>
    <w:rPr>
      <w:rFonts w:ascii="Quattrocento Sans" w:hAnsi="Quattrocento Sans" w:eastAsia="Quattrocento Sans" w:cs="Quattrocento Sans"/>
      <w:sz w:val="22"/>
      <w:szCs w:val="22"/>
      <w:lang w:val="uz-Cyrl-UZ" w:eastAsia="en-GB" w:bidi="ar-SA"/>
    </w:rPr>
  </w:style>
  <w:style w:type="table" w:customStyle="1" w:styleId="55">
    <w:name w:val="Grid Table 6 Colorful1"/>
    <w:basedOn w:val="6"/>
    <w:uiPriority w:val="51"/>
    <w:rPr>
      <w:rFonts w:ascii="Calibri" w:hAnsi="Calibri" w:eastAsia="Times New Roman"/>
      <w:color w:val="000000"/>
      <w:sz w:val="22"/>
      <w:szCs w:val="22"/>
      <w:lang w:eastAsia="en-US"/>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56">
    <w:name w:val="Grid Table 6 Colorful"/>
    <w:basedOn w:val="6"/>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57">
    <w:name w:val="Default"/>
    <w:uiPriority w:val="0"/>
    <w:pPr>
      <w:autoSpaceDE w:val="0"/>
      <w:autoSpaceDN w:val="0"/>
      <w:adjustRightInd w:val="0"/>
    </w:pPr>
    <w:rPr>
      <w:rFonts w:ascii="Calibri" w:hAnsi="Calibri" w:cs="Calibri" w:eastAsiaTheme="minorHAnsi"/>
      <w:color w:val="000000"/>
      <w:sz w:val="24"/>
      <w:szCs w:val="24"/>
      <w:lang w:val="en-US" w:eastAsia="en-US" w:bidi="ar-SA"/>
    </w:rPr>
  </w:style>
  <w:style w:type="paragraph" w:customStyle="1" w:styleId="58">
    <w:name w:val="Bullet lista Table"/>
    <w:basedOn w:val="1"/>
    <w:next w:val="1"/>
    <w:uiPriority w:val="0"/>
    <w:pPr>
      <w:numPr>
        <w:ilvl w:val="0"/>
        <w:numId w:val="1"/>
      </w:numPr>
      <w:ind w:left="720"/>
      <w:contextualSpacing/>
    </w:pPr>
    <w:rPr>
      <w:rFonts w:ascii="Arial" w:hAnsi="Arial"/>
      <w:szCs w:val="22"/>
      <w:lang w:val="uz-Cyrl-UZ" w:eastAsia="en-US"/>
    </w:rPr>
  </w:style>
  <w:style w:type="table" w:customStyle="1" w:styleId="59">
    <w:name w:val="Light Shading - Accent 31"/>
    <w:basedOn w:val="6"/>
    <w:uiPriority w:val="60"/>
    <w:rPr>
      <w:rFonts w:ascii="Calibri" w:hAnsi="Calibri" w:eastAsia="Times New Roman"/>
      <w:color w:val="707070"/>
      <w:sz w:val="22"/>
      <w:szCs w:val="22"/>
      <w:lang w:eastAsia="en-US"/>
    </w:rPr>
    <w:tblPr>
      <w:tblBorders>
        <w:top w:val="single" w:color="969696" w:sz="8" w:space="0"/>
        <w:bottom w:val="single" w:color="969696" w:sz="8" w:space="0"/>
      </w:tblBorders>
    </w:tblPr>
    <w:tblStylePr w:type="firstRow">
      <w:pPr>
        <w:spacing w:before="0" w:after="0" w:line="240" w:lineRule="auto"/>
      </w:pPr>
      <w:rPr>
        <w:b/>
        <w:bCs/>
      </w:rPr>
      <w:tcPr>
        <w:tcBorders>
          <w:top w:val="single" w:color="969696" w:sz="8" w:space="0"/>
          <w:left w:val="nil"/>
          <w:bottom w:val="single" w:color="969696" w:sz="8" w:space="0"/>
          <w:right w:val="nil"/>
          <w:insideH w:val="nil"/>
          <w:insideV w:val="nil"/>
        </w:tcBorders>
      </w:tcPr>
    </w:tblStylePr>
    <w:tblStylePr w:type="lastRow">
      <w:pPr>
        <w:spacing w:before="0" w:after="0" w:line="240" w:lineRule="auto"/>
      </w:pPr>
      <w:rPr>
        <w:b/>
        <w:bCs/>
      </w:rPr>
      <w:tcPr>
        <w:tcBorders>
          <w:top w:val="single" w:color="969696" w:sz="8" w:space="0"/>
          <w:left w:val="nil"/>
          <w:bottom w:val="single" w:color="96969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5E5E5"/>
      </w:tcPr>
    </w:tblStylePr>
    <w:tblStylePr w:type="band1Horz">
      <w:tcPr>
        <w:tcBorders>
          <w:left w:val="nil"/>
          <w:right w:val="nil"/>
          <w:insideH w:val="nil"/>
          <w:insideV w:val="nil"/>
        </w:tcBorders>
        <w:shd w:val="clear" w:color="auto" w:fill="E5E5E5"/>
      </w:tcPr>
    </w:tblStylePr>
  </w:style>
  <w:style w:type="table" w:customStyle="1" w:styleId="60">
    <w:name w:val="Light Shading - Accent 21"/>
    <w:basedOn w:val="6"/>
    <w:uiPriority w:val="60"/>
    <w:rPr>
      <w:rFonts w:ascii="Calibri" w:hAnsi="Calibri" w:eastAsia="Times New Roman"/>
      <w:color w:val="858585"/>
      <w:sz w:val="22"/>
      <w:szCs w:val="22"/>
      <w:lang w:eastAsia="en-US"/>
    </w:rPr>
    <w:tblPr>
      <w:tblBorders>
        <w:top w:val="single" w:color="B2B2B2" w:sz="8" w:space="0"/>
        <w:bottom w:val="single" w:color="B2B2B2" w:sz="8" w:space="0"/>
      </w:tblBorders>
    </w:tblPr>
    <w:tblStylePr w:type="firstRow">
      <w:pPr>
        <w:spacing w:before="0" w:after="0" w:line="240" w:lineRule="auto"/>
      </w:pPr>
      <w:rPr>
        <w:b/>
        <w:bCs/>
      </w:rPr>
      <w:tcPr>
        <w:tcBorders>
          <w:top w:val="single" w:color="B2B2B2" w:sz="8" w:space="0"/>
          <w:left w:val="nil"/>
          <w:bottom w:val="single" w:color="B2B2B2" w:sz="8" w:space="0"/>
          <w:right w:val="nil"/>
          <w:insideH w:val="nil"/>
          <w:insideV w:val="nil"/>
        </w:tcBorders>
      </w:tcPr>
    </w:tblStylePr>
    <w:tblStylePr w:type="lastRow">
      <w:pPr>
        <w:spacing w:before="0" w:after="0" w:line="240" w:lineRule="auto"/>
      </w:pPr>
      <w:rPr>
        <w:b/>
        <w:bCs/>
      </w:rPr>
      <w:tcPr>
        <w:tcBorders>
          <w:top w:val="single" w:color="B2B2B2" w:sz="8" w:space="0"/>
          <w:left w:val="nil"/>
          <w:bottom w:val="single" w:color="B2B2B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BEBEB"/>
      </w:tcPr>
    </w:tblStylePr>
    <w:tblStylePr w:type="band1Horz">
      <w:tcPr>
        <w:tcBorders>
          <w:left w:val="nil"/>
          <w:right w:val="nil"/>
          <w:insideH w:val="nil"/>
          <w:insideV w:val="nil"/>
        </w:tcBorders>
        <w:shd w:val="clear" w:color="auto" w:fill="EBEBEB"/>
      </w:tcPr>
    </w:tblStylePr>
  </w:style>
  <w:style w:type="paragraph" w:customStyle="1" w:styleId="61">
    <w:name w:val="Paragraf 1.1"/>
    <w:basedOn w:val="1"/>
    <w:uiPriority w:val="0"/>
    <w:pPr>
      <w:numPr>
        <w:ilvl w:val="0"/>
        <w:numId w:val="2"/>
      </w:numPr>
      <w:suppressAutoHyphens/>
      <w:autoSpaceDN w:val="0"/>
      <w:textAlignment w:val="baseline"/>
    </w:pPr>
    <w:rPr>
      <w:lang w:eastAsia="en-US"/>
    </w:rPr>
  </w:style>
  <w:style w:type="table" w:customStyle="1" w:styleId="62">
    <w:name w:val="Table Grid2"/>
    <w:basedOn w:val="6"/>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Table Grid3"/>
    <w:basedOn w:val="6"/>
    <w:uiPriority w:val="39"/>
    <w:rPr>
      <w:rFonts w:asciiTheme="minorHAnsi" w:hAnsiTheme="minorHAnsi" w:eastAsiaTheme="minorHAnsi"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Table Grid4"/>
    <w:basedOn w:val="6"/>
    <w:uiPriority w:val="39"/>
    <w:rPr>
      <w:rFonts w:asciiTheme="minorHAnsi" w:hAnsiTheme="minorHAnsi" w:eastAsiaTheme="minorHAnsi"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apple-converted-space"/>
    <w:basedOn w:val="5"/>
    <w:uiPriority w:val="0"/>
  </w:style>
  <w:style w:type="character" w:customStyle="1" w:styleId="66">
    <w:name w:val="fw-bold"/>
    <w:basedOn w:val="5"/>
    <w:uiPriority w:val="0"/>
  </w:style>
  <w:style w:type="paragraph" w:styleId="67">
    <w:name w:val="No Spacing"/>
    <w:qFormat/>
    <w:uiPriority w:val="1"/>
    <w:rPr>
      <w:rFonts w:ascii="Times New Roman" w:hAnsi="Times New Roman" w:eastAsia="Times New Roman" w:cs="Times New Roman"/>
      <w:sz w:val="24"/>
      <w:szCs w:val="24"/>
      <w:lang w:val="en-US" w:eastAsia="en-GB" w:bidi="ar-SA"/>
    </w:rPr>
  </w:style>
  <w:style w:type="character" w:customStyle="1" w:styleId="68">
    <w:name w:val="List Paragraph Char"/>
    <w:basedOn w:val="5"/>
    <w:link w:val="51"/>
    <w:uiPriority w:val="34"/>
    <w:rPr>
      <w:rFonts w:eastAsia="Times New Roman"/>
      <w:sz w:val="24"/>
      <w:szCs w:val="24"/>
    </w:rPr>
  </w:style>
  <w:style w:type="paragraph" w:customStyle="1" w:styleId="69">
    <w:name w:val="Revision"/>
    <w:hidden/>
    <w:semiHidden/>
    <w:uiPriority w:val="99"/>
    <w:rPr>
      <w:rFonts w:ascii="Times New Roman" w:hAnsi="Times New Roman" w:eastAsia="Times New Roman" w:cs="Times New Roman"/>
      <w:sz w:val="24"/>
      <w:szCs w:val="24"/>
      <w:lang w:val="en-US" w:eastAsia="en-GB" w:bidi="ar-SA"/>
    </w:rPr>
  </w:style>
  <w:style w:type="character" w:customStyle="1" w:styleId="70">
    <w:name w:val="Comment Text Char"/>
    <w:basedOn w:val="5"/>
    <w:link w:val="9"/>
    <w:semiHidden/>
    <w:uiPriority w:val="99"/>
    <w:rPr>
      <w:rFonts w:eastAsia="Times New Roman"/>
    </w:rPr>
  </w:style>
  <w:style w:type="character" w:customStyle="1" w:styleId="71">
    <w:name w:val="Comment Subject Char"/>
    <w:basedOn w:val="70"/>
    <w:link w:val="10"/>
    <w:semiHidden/>
    <w:uiPriority w:val="99"/>
    <w:rPr>
      <w:rFonts w:eastAsia="Times New Roman"/>
      <w:b/>
      <w:bCs/>
    </w:rPr>
  </w:style>
  <w:style w:type="character" w:styleId="72">
    <w:name w:val="Placeholder Text"/>
    <w:basedOn w:val="5"/>
    <w:semiHidden/>
    <w:uiPriority w:val="99"/>
    <w:rPr>
      <w:color w:val="808080"/>
    </w:rPr>
  </w:style>
  <w:style w:type="character" w:customStyle="1" w:styleId="73">
    <w:name w:val="new"/>
    <w:basedOn w:val="5"/>
    <w:uiPriority w:val="0"/>
  </w:style>
  <w:style w:type="table" w:customStyle="1" w:styleId="74">
    <w:name w:val="Plain Table 3"/>
    <w:basedOn w:val="6"/>
    <w:uiPriority w:val="43"/>
    <w:rPr>
      <w:rFonts w:asciiTheme="minorHAnsi" w:hAnsiTheme="minorHAnsi" w:eastAsiaTheme="minorHAnsi" w:cstheme="minorBidi"/>
      <w:kern w:val="2"/>
      <w:sz w:val="22"/>
      <w:szCs w:val="22"/>
      <w:lang w:eastAsia="en-US"/>
      <w14:ligatures w14:val="standardContextual"/>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75">
    <w:name w:val="Plain Table 4"/>
    <w:basedOn w:val="6"/>
    <w:uiPriority w:val="44"/>
    <w:rPr>
      <w:rFonts w:asciiTheme="minorHAnsi" w:hAnsiTheme="minorHAnsi" w:eastAsiaTheme="minorHAnsi" w:cstheme="minorBidi"/>
      <w:kern w:val="2"/>
      <w:sz w:val="22"/>
      <w:szCs w:val="22"/>
      <w:lang w:eastAsia="en-US"/>
      <w14:ligatures w14:val="standardContextual"/>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76">
    <w:name w:val="hwtze"/>
    <w:basedOn w:val="5"/>
    <w:uiPriority w:val="0"/>
  </w:style>
  <w:style w:type="character" w:customStyle="1" w:styleId="77">
    <w:name w:val="rynqvb"/>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footer" Target="footer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8766C3-8A9E-4293-9B7A-BC2A2CE92393}">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25497</Words>
  <Characters>145338</Characters>
  <Lines>1211</Lines>
  <Paragraphs>340</Paragraphs>
  <TotalTime>33</TotalTime>
  <ScaleCrop>false</ScaleCrop>
  <LinksUpToDate>false</LinksUpToDate>
  <CharactersWithSpaces>170495</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2024-02-18T16:08:00Z</dcterms:created>
  <dc:creator>F.Matovic</dc:creator>
  <cp:lastModifiedBy>Aleksandar Randjelovic</cp:lastModifiedBy>
  <dcterms:modified xsi:type="dcterms:W3CDTF">2024-03-12T12:11:47Z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5C1EB15768054139849A0249036D9201_13</vt:lpwstr>
  </property>
</Properties>
</file>